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1370d1_6k.htm"/>
      <w:bookmarkStart w:id="1" w:name="kstm262137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jc w:val="center"/>
        <w:rPr>
          <w:b/>
        </w:rPr>
      </w:pPr>
      <w:r>
        <w:rPr>
          <w:b/>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People’s Republic of China </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80"/>
        <w:gridCol w:w="3320"/>
      </w:tblGrid>
      <w:tr>
        <w:trPr/>
        <w:tc>
          <w:tcPr>
            <w:tcW w:w="380" w:type="dxa"/>
            <w:tcBorders/>
            <w:vAlign w:val="center"/>
          </w:tcPr>
          <w:p>
            <w:pPr>
              <w:pStyle w:val="TableContents"/>
              <w:bidi w:val="0"/>
              <w:spacing w:before="0" w:after="283"/>
              <w:ind w:left="0" w:right="0" w:hanging="200"/>
              <w:jc w:val="left"/>
              <w:rPr/>
            </w:pPr>
            <w:hyperlink w:anchor="tm2621370d1_ex99-1.htm">
              <w:r>
                <w:rPr>
                  <w:rStyle w:val="InternetLink"/>
                  <w:sz w:val="20"/>
                </w:rPr>
                <w:t>99.1</w:t>
              </w:r>
            </w:hyperlink>
          </w:p>
        </w:tc>
        <w:tc>
          <w:tcPr>
            <w:tcW w:w="3320" w:type="dxa"/>
            <w:tcBorders/>
            <w:vAlign w:val="center"/>
          </w:tcPr>
          <w:p>
            <w:pPr>
              <w:pStyle w:val="TableContents"/>
              <w:bidi w:val="0"/>
              <w:spacing w:before="0" w:after="283"/>
              <w:jc w:val="left"/>
              <w:rPr/>
            </w:pPr>
            <w:hyperlink w:anchor="tm2621370d1_ex99-1.htm">
              <w:r>
                <w:rPr>
                  <w:rStyle w:val="InternetLink"/>
                  <w:sz w:val="20"/>
                </w:rPr>
                <w:t>Announcement – Date of Board Meeting</w:t>
              </w:r>
            </w:hyperlink>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1370d1_ex99-1.htm"/>
      <w:bookmarkStart w:id="3" w:name="kstm2621370d1_ex991"/>
      <w:bookmarkEnd w:id="2"/>
      <w:bookmarkEnd w:id="3"/>
      <w:r>
        <w:rPr/>
        <w:t> </w:t>
      </w:r>
      <w:r>
        <w:br w:type="page"/>
      </w:r>
    </w:p>
    <w:p>
      <w:pPr>
        <w:pStyle w:val="TextBody"/>
        <w:bidi w:val="0"/>
        <w:jc w:val="right"/>
        <w:rPr>
          <w:sz w:val="20"/>
        </w:rPr>
      </w:pPr>
      <w:r>
        <w:rPr>
          <w:sz w:val="20"/>
        </w:rPr>
        <w:t>E</w:t>
      </w:r>
      <w:r>
        <w:rPr>
          <w:b/>
          <w:sz w:val="20"/>
        </w:rPr>
        <w:t>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8700" cy="214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21463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a meeting of the Board will be held on August 18, 2026 (Tuesday, Beijing/Hong Kong Time), for the purpose of considering and approving, among other matters, (i) the quarterly results of the Company and its subsidiaries for the three months ended June 30, 2026 and its publication, and (ii) the unaudited consolidated interim results of the Company and its subsidiaries for the six months ended June 30, 2026 and the publication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Time)/8:00 PM (Beijing/Hong Kong Time) on Tuesday, August 18, 2026. For participants who wish to join the call by phone, please access the link provided below to complete the pre-registration and dial in 5 minutes prior to the scheduled call start time. Upon registration, each participant will receive dial-in details to join the conference call.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Hesai Group Second Quarter 2026 Earnings Conference Call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Pre-registration Link: </w:t>
      </w:r>
      <w:r>
        <w:rPr>
          <w:rFonts w:ascii="Times New Roman;Times;Serif" w:hAnsi="Times New Roman;Times;Serif"/>
          <w:b w:val="false"/>
          <w:i w:val="false"/>
          <w:caps w:val="false"/>
          <w:smallCaps w:val="false"/>
          <w:sz w:val="20"/>
          <w:u w:val="single"/>
        </w:rPr>
        <w:t>https://s1.c-conf.com/diamondpass/10056124-5hw8f8.html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https://investor.hesaitech.com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27,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For identification purposes only</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508</Words>
  <Characters>2693</Characters>
  <CharactersWithSpaces>3222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