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3467d1_6k.htm"/>
      <w:bookmarkStart w:id="1" w:name="kstm2623467d1_6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Hesai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10th Floor, Building 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658 Zhaohua Road, Changning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200050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455"/>
        <w:gridCol w:w="8645"/>
      </w:tblGrid>
      <w:tr>
        <w:trPr/>
        <w:tc>
          <w:tcPr>
            <w:tcW w:w="455" w:type="dxa"/>
            <w:tcBorders/>
            <w:vAlign w:val="center"/>
          </w:tcPr>
          <w:p>
            <w:pPr>
              <w:pStyle w:val="TableContents"/>
              <w:bidi w:val="0"/>
              <w:spacing w:before="0" w:after="283"/>
              <w:jc w:val="left"/>
              <w:rPr/>
            </w:pPr>
            <w:hyperlink w:anchor="tm2623467d1_ex99-1.htm">
              <w:r>
                <w:rPr>
                  <w:rStyle w:val="InternetLink"/>
                  <w:sz w:val="20"/>
                </w:rPr>
                <w:t>99</w:t>
              </w:r>
            </w:hyperlink>
            <w:hyperlink w:anchor="tm2623467d1_ex99-1.htm">
              <w:r>
                <w:rPr>
                  <w:rStyle w:val="InternetLink"/>
                </w:rPr>
                <w:t>.1</w:t>
              </w:r>
            </w:hyperlink>
          </w:p>
        </w:tc>
        <w:tc>
          <w:tcPr>
            <w:tcW w:w="8645" w:type="dxa"/>
            <w:tcBorders/>
            <w:vAlign w:val="center"/>
          </w:tcPr>
          <w:p>
            <w:pPr>
              <w:pStyle w:val="TableContents"/>
              <w:bidi w:val="0"/>
              <w:spacing w:before="0" w:after="283"/>
              <w:jc w:val="both"/>
              <w:rPr/>
            </w:pPr>
            <w:hyperlink w:anchor="tm2623467d1_ex99-1.htm">
              <w:r>
                <w:rPr>
                  <w:rStyle w:val="InternetLink"/>
                </w:rPr>
                <w:t>Press Release — Hesai Group Reports Second Quarter 2026 Unaudited Financial Results</w:t>
              </w:r>
            </w:hyperlink>
          </w:p>
        </w:tc>
      </w:tr>
      <w:tr>
        <w:trPr/>
        <w:tc>
          <w:tcPr>
            <w:tcW w:w="455" w:type="dxa"/>
            <w:tcBorders/>
            <w:vAlign w:val="center"/>
          </w:tcPr>
          <w:p>
            <w:pPr>
              <w:pStyle w:val="TableContents"/>
              <w:bidi w:val="0"/>
              <w:spacing w:before="0" w:after="283"/>
              <w:jc w:val="left"/>
              <w:rPr/>
            </w:pPr>
            <w:hyperlink w:anchor="tm2623467d1_ex99-2.htm">
              <w:r>
                <w:rPr>
                  <w:rStyle w:val="InternetLink"/>
                </w:rPr>
                <w:t>99.2</w:t>
              </w:r>
            </w:hyperlink>
          </w:p>
        </w:tc>
        <w:tc>
          <w:tcPr>
            <w:tcW w:w="8645" w:type="dxa"/>
            <w:tcBorders/>
            <w:vAlign w:val="center"/>
          </w:tcPr>
          <w:p>
            <w:pPr>
              <w:pStyle w:val="TableContents"/>
              <w:bidi w:val="0"/>
              <w:spacing w:before="0" w:after="283"/>
              <w:jc w:val="both"/>
              <w:rPr/>
            </w:pPr>
            <w:hyperlink w:anchor="tm2623467d1_ex99-2.htm">
              <w:r>
                <w:rPr>
                  <w:rStyle w:val="InternetLink"/>
                </w:rPr>
                <w:t>Announcement — Interim Results Announcement for the Six Months ended June 30,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1333" w:type="dxa"/>
        <w:jc w:val="left"/>
        <w:tblInd w:w="0" w:type="dxa"/>
        <w:tblLayout w:type="fixed"/>
        <w:tblCellMar>
          <w:top w:w="0" w:type="dxa"/>
          <w:left w:w="0" w:type="dxa"/>
          <w:bottom w:w="0" w:type="dxa"/>
          <w:right w:w="0" w:type="dxa"/>
        </w:tblCellMar>
      </w:tblPr>
      <w:tblGrid>
        <w:gridCol w:w="23"/>
        <w:gridCol w:w="1310"/>
      </w:tblGrid>
      <w:tr>
        <w:trPr/>
        <w:tc>
          <w:tcPr>
            <w:tcW w:w="23" w:type="dxa"/>
            <w:tcBorders/>
            <w:vAlign w:val="center"/>
          </w:tcPr>
          <w:p>
            <w:pPr>
              <w:pStyle w:val="TableContents"/>
              <w:bidi w:val="0"/>
              <w:spacing w:before="0" w:after="283"/>
              <w:ind w:left="0" w:right="0" w:hanging="200"/>
              <w:jc w:val="left"/>
              <w:rPr>
                <w:sz w:val="4"/>
                <w:szCs w:val="4"/>
              </w:rPr>
            </w:pPr>
            <w:r>
              <w:rPr>
                <w:sz w:val="4"/>
                <w:szCs w:val="4"/>
              </w:rPr>
            </w:r>
          </w:p>
        </w:tc>
        <w:tc>
          <w:tcPr>
            <w:tcW w:w="1310" w:type="dxa"/>
            <w:tcBorders/>
            <w:vAlign w:val="center"/>
          </w:tcPr>
          <w:p>
            <w:pPr>
              <w:pStyle w:val="TableContents"/>
              <w:bidi w:val="0"/>
              <w:spacing w:before="0" w:after="283"/>
              <w:jc w:val="left"/>
              <w:rPr>
                <w:b/>
              </w:rPr>
            </w:pPr>
            <w:r>
              <w:rPr>
                <w:b/>
              </w:rPr>
              <w:t>Hesai Group</w:t>
            </w:r>
          </w:p>
        </w:tc>
      </w:tr>
    </w:tbl>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75"/>
        <w:gridCol w:w="485"/>
        <w:gridCol w:w="80"/>
        <w:gridCol w:w="195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955" w:type="dxa"/>
            <w:tcBorders>
              <w:bottom w:val="single" w:sz="8" w:space="0" w:color="000000"/>
            </w:tcBorders>
            <w:tcMar>
              <w:bottom w:w="28" w:type="dxa"/>
            </w:tcMar>
            <w:vAlign w:val="center"/>
          </w:tcPr>
          <w:p>
            <w:pPr>
              <w:pStyle w:val="TableContents"/>
              <w:bidi w:val="0"/>
              <w:spacing w:before="0" w:after="283"/>
              <w:jc w:val="left"/>
              <w:rPr/>
            </w:pPr>
            <w:r>
              <w:rPr/>
              <w:t>/s/ 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3467d1_ex99-1.htm"/>
      <w:bookmarkStart w:id="3" w:name="kstm2623467d1_ex991"/>
      <w:bookmarkEnd w:id="2"/>
      <w:bookmarkEnd w:id="3"/>
      <w:r>
        <w:rPr/>
        <w:t> </w:t>
      </w:r>
      <w:r>
        <w:br w:type="page"/>
      </w:r>
    </w:p>
    <w:p>
      <w:pPr>
        <w:pStyle w:val="TextBody"/>
        <w:bidi w:val="0"/>
        <w:jc w:val="right"/>
        <w:rPr>
          <w:b/>
        </w:rPr>
      </w:pPr>
      <w:r>
        <w:rPr>
          <w:b/>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 Reports Second Quarter 2026 Unaudited Financial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Quarterly net revenues were RMB860.8 million (US$126.9 million)</w:t>
      </w:r>
      <w:r>
        <w:rPr>
          <w:rFonts w:ascii="Times New Roman;Times;Serif" w:hAnsi="Times New Roman;Times;Serif"/>
          <w:b w:val="false"/>
          <w:i/>
          <w:caps w:val="false"/>
          <w:smallCaps w:val="false"/>
          <w:position w:val="7"/>
          <w:sz w:val="16"/>
          <w:sz w:val="20"/>
        </w:rPr>
        <w:t>1</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Quarterly lidar shipments were 628,275 units</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Quarterly net income was RMB70.6 million (US$10.4 million)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rFonts w:ascii="Times New Roman;Times;Serif" w:hAnsi="Times New Roman;Times;Serif"/>
          <w:b/>
          <w:i w:val="false"/>
          <w:caps w:val="false"/>
          <w:smallCaps w:val="false"/>
          <w:sz w:val="20"/>
        </w:rPr>
        <w:t>SHANGHAI</w:t>
      </w:r>
      <w:r>
        <w:rPr>
          <w:rFonts w:ascii="Times New Roman;Times;Serif" w:hAnsi="Times New Roman;Times;Serif"/>
          <w:b w:val="false"/>
          <w:i w:val="false"/>
          <w:caps w:val="false"/>
          <w:smallCaps w:val="false"/>
          <w:sz w:val="20"/>
        </w:rPr>
        <w:t xml:space="preserve">, China, Aug. 18, 2026 (GLOBE NEWSWIRE)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Hesai Group (“</w:t>
      </w:r>
      <w:r>
        <w:rPr>
          <w:rFonts w:ascii="Times New Roman;Times;Serif" w:hAnsi="Times New Roman;Times;Serif"/>
          <w:b/>
          <w:i w:val="false"/>
          <w:caps w:val="false"/>
          <w:smallCaps w:val="false"/>
          <w:sz w:val="20"/>
        </w:rPr>
        <w:t>Hesai</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(NASDAQ: HSAI; HKEX: 2525), a global tech company and a leader in 3D perception, today announced its unaudited financial results for the three months ended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Remarks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The second quarter of 2026 marked a defining milestone as Hesai has evolved into a full-stack infrastructure platform for Robotics and Physical AI – empowering them to see, understand, and act,” said Dr. Yifan “David” Li, Hesai’s Co-Founder and CEO. “We enable Robotics and Physical AI to </w:t>
      </w:r>
      <w:r>
        <w:rPr>
          <w:rFonts w:ascii="Times New Roman;Times;Serif" w:hAnsi="Times New Roman;Times;Serif"/>
          <w:b/>
          <w:i w:val="false"/>
          <w:caps w:val="false"/>
          <w:smallCaps w:val="false"/>
          <w:sz w:val="20"/>
        </w:rPr>
        <w:t>see</w:t>
      </w:r>
      <w:r>
        <w:rPr>
          <w:rFonts w:ascii="Times New Roman;Times;Serif" w:hAnsi="Times New Roman;Times;Serif"/>
          <w:b w:val="false"/>
          <w:i w:val="false"/>
          <w:caps w:val="false"/>
          <w:smallCaps w:val="false"/>
          <w:sz w:val="20"/>
        </w:rPr>
        <w:t>: lidar – our powerful and durable cash engine – is evolving from a ‘must-have’ toward ‘better and more’ in vehicles, the world’s most widely deployed robots. At the same time, demand for the same high-performance, robust, and reliable 3D sensing is rapidly expanding to humanoids and other intelligent machines, driving new orders from Unitree, Robbyant, Galbot, Galaxea, Dexmal, and others. Picasso, our full-color, ultra-sensitive 6D SPAD-SoC, on the other hand, represents a major leap forward in perception technology by enabling a unified 3D understanding of depth, semantics, and how environments evolve over time – delivering true multimodality, which is indispensable for world models and physical AI.”</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Dr. Li continued, “We enable them to </w:t>
      </w:r>
      <w:r>
        <w:rPr>
          <w:rFonts w:ascii="Times New Roman;Times;Serif" w:hAnsi="Times New Roman;Times;Serif"/>
          <w:b/>
          <w:i w:val="false"/>
          <w:caps w:val="false"/>
          <w:smallCaps w:val="false"/>
          <w:sz w:val="20"/>
        </w:rPr>
        <w:t>understand</w:t>
      </w:r>
      <w:r>
        <w:rPr>
          <w:rFonts w:ascii="Times New Roman;Times;Serif" w:hAnsi="Times New Roman;Times;Serif"/>
          <w:b w:val="false"/>
          <w:i w:val="false"/>
          <w:caps w:val="false"/>
          <w:smallCaps w:val="false"/>
          <w:sz w:val="20"/>
        </w:rPr>
        <w:t xml:space="preserve">: Kosmo, our spatial intelligence platform, transforms the physical world into AI-ready, reusable 3D spatial assets. That gives robots one of the scarcest and most valuable inputs: geometrically accurate, physically grounded digital representations of the physical world, helping bridge the sim-to-real gap and unlock robotics scaling laws. After prototype deliveries in July 2026, we secured orders from a lineup of leading humanoid robotics companies, including Galbot, with initial revenues expected in the third quarter of 2026 as part of Strategic Growth Initiatives (“SGI”). And we enable them to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high-performance joints represent another of robotics’ toughest bottlenecks. Leveraging our deep precision engineering expertise, we re-engineered actuation modules from first principles to deliver precise control, compact size, high force output, and true backdrivability in one design. Our proprietary modules are already showing commercial traction: modules began generating revenues in the second quarter, and Hesai is now supplying robotic actuation modules to Sharpa, a global frontrunner in AI robotics. Our production line is fully operational, with shipments underway for dexterous hands and full-body joints ramping soon. By empowering them to see, understand and act in a closed loop, Hesai is entering an exciting new chapter of growth – building the foundational infrastructure for a future shaped by Robotics and Physical AI.”</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3" w:type="dxa"/>
            <w:tcBorders/>
            <w:vAlign w:val="center"/>
          </w:tcPr>
          <w:p>
            <w:pPr>
              <w:pStyle w:val="TableContents"/>
              <w:bidi w:val="0"/>
              <w:spacing w:before="0" w:after="283"/>
              <w:jc w:val="both"/>
              <w:rPr/>
            </w:pPr>
            <w:r>
              <w:rPr/>
              <w:t>All translations from RMB to USD for the second quarter of 2026 were made at the exchange rate of RMB6.7851 to US$1.00, the exchange rate on June 30, 2026, set forth in the H.10 statistical release of the Federal Reserve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Hesai’s performance in the 2026 second quarter provides strong validation of our next chapter of growth. Our core lidar business continued to deliver profitable scale and strong cash generation, while SGI began translating technological leadership into commercial momentum,” said Mr. Andrew Fan, Hesai’s CFO. “Net revenues reached RMB861 million for the three months ended June 30, 2026, with ADAS and Robotics lidar shipments growing 60% and 193% compared to the same period last year, respectively. Net income reached RMB71 million for the three months ended June 30, 2026, up 60% year-over-year despite continued investments in building SGI. The second quarter of 2026 marked our fifth consecutive quarter of GAAP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Fan continued, “This quarter also marked SGI’s first revenue contribution, led by strong early commercial traction for our industry-leading robotic actuation modules. Driven by stronger-than-expected commercialization momentum and market demand across SGI, including Kosmo on track to begin contributing revenues in the third quarter of 2026, we are raising our full-year 2026 SGI revenue guidance from RMB100 million to a range of RMB200-300 million. We are particularly encouraged by SGI’s growth trajectory and expect the business to reach approximately US$100 million in revenues in 2027 and achieve breakeven in the same year.”</w:t>
      </w:r>
    </w:p>
    <w:p>
      <w:pPr>
        <w:pStyle w:val="TextBody"/>
        <w:bidi w:val="0"/>
        <w:spacing w:before="0" w:after="0"/>
        <w:ind w:left="0" w:right="0" w:hanging="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125"/>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435" w:type="dxa"/>
            <w:tcBorders/>
            <w:vAlign w:val="center"/>
          </w:tcPr>
          <w:p>
            <w:pPr>
              <w:pStyle w:val="TableContents"/>
              <w:bidi w:val="0"/>
              <w:spacing w:before="0" w:after="283"/>
              <w:jc w:val="both"/>
              <w:rPr>
                <w:b/>
                <w:i/>
              </w:rPr>
            </w:pPr>
            <w:r>
              <w:rPr>
                <w:b/>
                <w:i/>
              </w:rPr>
              <w:t>Lidar Business Updates: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Expanded JT128 adoption through collaborations with more than 50 embodied AI companies worldwide, including Unitree, Robbyant, Galbot, Galaxea, and Dexmal, reinforcing our leadership in robotics lidar. According to GGII, Hesai ranked No.1 in the lidar market for humanoid &amp; quadruped robots in China.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Captured a 44% share of China’s long-range ADAS lidar market in June 2026, twice that of the second player, maintaining the No.1 position for the 17th consecutive month, according to Gasgoo.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Great Wall Motor: </w:t>
            </w:r>
            <w:r>
              <w:rPr>
                <w:rFonts w:ascii="Times New Roman;Times;Serif" w:hAnsi="Times New Roman;Times;Serif"/>
              </w:rPr>
              <w:t xml:space="preserve">Secured a new design win for Hesai’s high-end ultra-long-range ETX lidar, with start of production (“SOP”) expected in late 2026.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Li Auto: </w:t>
            </w:r>
            <w:r>
              <w:rPr>
                <w:rFonts w:ascii="Times New Roman;Times;Serif" w:hAnsi="Times New Roman;Times;Serif"/>
              </w:rPr>
              <w:t xml:space="preserve">Expanded multi-lidar adoption from the flagship L9 and L8 to the RMB250,000-class L6, supporting configurations of up to four Hesai lidars and accelerating the mainstream adoption of multi-lidar architectures.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GAC Toyota: </w:t>
            </w:r>
            <w:r>
              <w:rPr>
                <w:rFonts w:ascii="Times New Roman;Times;Serif" w:hAnsi="Times New Roman;Times;Serif"/>
              </w:rPr>
              <w:t xml:space="preserve">Following the bZ3X model, secured another design win for the bZ7 model, further expanding partnerships with Japanese automotive brands.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Secured a major global design win with Volkswagen, covering multiple vehicle models under its China joint ventures.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Successfully transitioned “Picasso”, the full-color, ultra-sensitive 6D SPAD-SoC, from technology development into product integration, with the SoC now SOP-ready. The high-end, ultra-long-range Picasso-equipped ETX is undergoing customer validation and progressing into Request for Information (“RFI”) and Request for Quotation (“RFQ”) discussions with leading robotaxi operators and global automakers.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85"/>
        <w:gridCol w:w="9834"/>
      </w:tblGrid>
      <w:tr>
        <w:trPr/>
        <w:tc>
          <w:tcPr>
            <w:tcW w:w="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rFonts w:ascii="Symbol" w:hAnsi="Symbol"/>
              </w:rPr>
            </w:pPr>
            <w:r>
              <w:rPr>
                <w:rFonts w:ascii="Symbol" w:hAnsi="Symbol"/>
              </w:rPr>
              <w:t>·</w:t>
            </w:r>
          </w:p>
        </w:tc>
        <w:tc>
          <w:tcPr>
            <w:tcW w:w="9834" w:type="dxa"/>
            <w:tcBorders/>
            <w:vAlign w:val="center"/>
          </w:tcPr>
          <w:p>
            <w:pPr>
              <w:pStyle w:val="TableContents"/>
              <w:bidi w:val="0"/>
              <w:spacing w:before="0" w:after="283"/>
              <w:jc w:val="both"/>
              <w:rPr>
                <w:b/>
                <w:i/>
              </w:rPr>
            </w:pPr>
            <w:r>
              <w:rPr>
                <w:b/>
                <w:i/>
              </w:rPr>
              <w:t xml:space="preserve">Strategic Growth Initiatives (SGI) Updates: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2"/>
        <w:gridCol w:w="2485"/>
        <w:gridCol w:w="7358"/>
      </w:tblGrid>
      <w:tr>
        <w:trPr/>
        <w:tc>
          <w:tcPr>
            <w:tcW w:w="362"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rFonts w:ascii="Wingdings" w:hAnsi="Wingdings"/>
              </w:rPr>
            </w:pPr>
            <w:r>
              <w:rPr>
                <w:rFonts w:ascii="Wingdings" w:hAnsi="Wingdings"/>
              </w:rPr>
              <w:t>u</w:t>
            </w:r>
          </w:p>
        </w:tc>
        <w:tc>
          <w:tcPr>
            <w:tcW w:w="7358" w:type="dxa"/>
            <w:tcBorders/>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 xml:space="preserve">Kosmo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Kosmo is a spatial intelligence platform integrating an AI spatial camera, AI algorithms, 3D spatial assets, and cloud services into one unified system. By transforming real-world environments into high-fidelity 3D assets that are editable and interactive, Kosmo provides the foundation for next-generation spatial AI applications across robotics, cultural tourism, film &amp; TV production, game development, advertising, and beyond.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For robotics, Kosmo’s continuously expanding 3D spatial asset library helps bridge the sim-to-real gap, supports robotics scaling laws, and creates a flywheel of hardware adoption, recurring cloud service revenues, and increasing platform value.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Delivered initial prototypes in July 2026 and secured orders from a lineup of leading humanoid robotics companies, including Galbot. Engagement with more than 200 prospective partners across industries validates Kosmo’s technology leadership and broad market demand, with initial revenues expected in the third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26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Wingdings" w:hAnsi="Wingdings"/>
                <w:b/>
              </w:rPr>
            </w:pPr>
            <w:r>
              <w:rPr>
                <w:rFonts w:ascii="Wingdings" w:hAnsi="Wingdings"/>
                <w:b/>
              </w:rPr>
              <w:t>u</w:t>
            </w:r>
          </w:p>
        </w:tc>
        <w:tc>
          <w:tcPr>
            <w:tcW w:w="2705" w:type="dxa"/>
            <w:tcBorders/>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Robotic Actuation Modules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Re-engineered from first principles across materials science, structural design, and system integration, Hesai’s proprietary robotic actuation modules deliver a unique combination of precise control, compact size, high force output, and true backdrivability. Compared with leading products currently available, they achieve approximately three times both the torque density and the power density in a 37% smaller package, with transmission efficiency above 95%.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Supplying robotic actuation modules to Sharpa, a global frontrunner in AI robotics; Sharpa aims to achieve real-world commercial validation of AI robotics through the world’s first “zero-retrofit” deployment at a Dairy Queen store in Shanghai in August 2026, with its robots autonomously performing Dairy Queen’s signature Blizzard ice-cream workflow – a complex long-horizon task – while demonstrating the potential to generalize across diverse real-world tasks.</w:t>
            </w:r>
            <w:r>
              <w:rPr>
                <w:position w:val="7"/>
                <w:sz w:val="16"/>
                <w:sz w:val="20"/>
              </w:rPr>
              <w:t>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Dedicated robotic actuation module production line is fully operational, delivering over 10,000 units by the end of the second quarter of 2026, and expanding from dexterous hands to full-body applications, with robotic actuation module shipments expected to reach six-digit level in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2</w:t>
            </w:r>
          </w:p>
        </w:tc>
        <w:tc>
          <w:tcPr>
            <w:tcW w:w="10043" w:type="dxa"/>
            <w:tcBorders/>
            <w:vAlign w:val="center"/>
          </w:tcPr>
          <w:p>
            <w:pPr>
              <w:pStyle w:val="TableContents"/>
              <w:bidi w:val="0"/>
              <w:spacing w:before="0" w:after="283"/>
              <w:jc w:val="both"/>
              <w:rPr/>
            </w:pPr>
            <w:r>
              <w:rPr/>
              <w:t>“</w:t>
            </w:r>
            <w:r>
              <w:rPr/>
              <w:t>World’s first” means that, by August 2026, based on the parties’ records and a search of reasonably available public information, no earlier publicly launched commercial pilot has been identified in which a general-purpose humanoid robot independently completes a specified ice cream-making process in a real brand store and operates it for consumers. Public commercial pilots do not include laboratory tests, internal validation, or projects that are unpublished or cannot be verified. “Zero retrofitting” and “fully autonomous” refer only to the specified making process under certain predefined conditions; restocking, cleaning, maintenance, safety supervision, and exception handling still require human involvement.</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533" w:type="dxa"/>
        <w:jc w:val="left"/>
        <w:tblInd w:w="0" w:type="dxa"/>
        <w:tblLayout w:type="fixed"/>
        <w:tblCellMar>
          <w:top w:w="0" w:type="dxa"/>
          <w:left w:w="0" w:type="dxa"/>
          <w:bottom w:w="0" w:type="dxa"/>
          <w:right w:w="0" w:type="dxa"/>
        </w:tblCellMar>
      </w:tblPr>
      <w:tblGrid>
        <w:gridCol w:w="2060"/>
        <w:gridCol w:w="60"/>
        <w:gridCol w:w="137"/>
        <w:gridCol w:w="1592"/>
        <w:gridCol w:w="60"/>
        <w:gridCol w:w="60"/>
        <w:gridCol w:w="98"/>
        <w:gridCol w:w="1391"/>
        <w:gridCol w:w="75"/>
      </w:tblGrid>
      <w:tr>
        <w:trPr/>
        <w:tc>
          <w:tcPr>
            <w:tcW w:w="20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w:t>
            </w:r>
          </w:p>
        </w:tc>
        <w:tc>
          <w:tcPr>
            <w:tcW w:w="60" w:type="dxa"/>
            <w:tcBorders/>
            <w:vAlign w:val="center"/>
          </w:tcPr>
          <w:p>
            <w:pPr>
              <w:pStyle w:val="TableContents"/>
              <w:bidi w:val="0"/>
              <w:spacing w:before="0" w:after="283"/>
              <w:jc w:val="left"/>
              <w:rPr/>
            </w:pPr>
            <w:r>
              <w:rPr/>
              <w:t> </w:t>
            </w:r>
          </w:p>
        </w:tc>
        <w:tc>
          <w:tcPr>
            <w:tcW w:w="17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ADAS lidar shipments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485,904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839,345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Robotics lidar shipments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260,653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lidar shipments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628,275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1,099,998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Q2 2026 ADAS lidar shipments </w:t>
            </w:r>
            <w:r>
              <w:rPr/>
              <w:t>were 485,904 units, representing an increase of 60.1% from 303,564 units in the corresponding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Q2 2026 Robotics lidar shipments </w:t>
            </w:r>
            <w:r>
              <w:rPr/>
              <w:t>were 142,371 units, representing an increase of 193.4% from 48,531 units in the corresponding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Q2 2026 Total lidar shipments </w:t>
            </w:r>
            <w:r>
              <w:rPr/>
              <w:t>were 628,275 units, representing an increase of 78.4% from 352,095 units in the corresponding period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 for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RMB millions, except for per ordinary share data and percentage)</w:t>
      </w:r>
    </w:p>
    <w:p>
      <w:pPr>
        <w:pStyle w:val="TextBody"/>
        <w:bidi w:val="0"/>
        <w:spacing w:before="0" w:after="0"/>
        <w:ind w:left="0" w:right="0" w:hanging="0"/>
        <w:jc w:val="left"/>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4025"/>
        <w:gridCol w:w="60"/>
        <w:gridCol w:w="81"/>
        <w:gridCol w:w="658"/>
        <w:gridCol w:w="185"/>
        <w:gridCol w:w="60"/>
        <w:gridCol w:w="81"/>
        <w:gridCol w:w="658"/>
        <w:gridCol w:w="185"/>
        <w:gridCol w:w="60"/>
        <w:gridCol w:w="108"/>
        <w:gridCol w:w="797"/>
        <w:gridCol w:w="260"/>
      </w:tblGrid>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ordinary share – basic</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ordinary share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per ordinary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non-GAAP net income per ordinary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1"/>
        <w:gridCol w:w="138"/>
        <w:gridCol w:w="10026"/>
      </w:tblGrid>
      <w:tr>
        <w:trPr/>
        <w:tc>
          <w:tcPr>
            <w:tcW w:w="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osition w:val="8"/>
                <w:sz w:val="19"/>
              </w:rPr>
            </w:pPr>
            <w:r>
              <w:rPr>
                <w:position w:val="8"/>
                <w:sz w:val="19"/>
              </w:rPr>
              <w:t>3</w:t>
            </w:r>
          </w:p>
        </w:tc>
        <w:tc>
          <w:tcPr>
            <w:tcW w:w="10026" w:type="dxa"/>
            <w:tcBorders/>
            <w:vAlign w:val="center"/>
          </w:tcPr>
          <w:p>
            <w:pPr>
              <w:pStyle w:val="TableContents"/>
              <w:bidi w:val="0"/>
              <w:spacing w:before="0" w:after="283"/>
              <w:jc w:val="both"/>
              <w:rPr/>
            </w:pPr>
            <w:r>
              <w:rPr/>
              <w:t>See “Use of Non-GAAP Financial Measures” included in this announcement for further details.</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4</w:t>
            </w:r>
          </w:p>
        </w:tc>
        <w:tc>
          <w:tcPr>
            <w:tcW w:w="10043" w:type="dxa"/>
            <w:tcBorders/>
            <w:vAlign w:val="center"/>
          </w:tcPr>
          <w:p>
            <w:pPr>
              <w:pStyle w:val="TableContents"/>
              <w:bidi w:val="0"/>
              <w:spacing w:before="0" w:after="283"/>
              <w:jc w:val="both"/>
              <w:rPr/>
            </w:pPr>
            <w:r>
              <w:rPr/>
              <w:t>On July 10, 2026, the Company implemented share subdivision of the Company on the basis of every one existing issued and unissued share into eight subdivided shares (“</w:t>
            </w:r>
            <w:r>
              <w:rPr>
                <w:b/>
              </w:rPr>
              <w:t>Share Subdivision</w:t>
            </w:r>
            <w:r>
              <w:rPr/>
              <w:t>”). The Company accounted for Share Subdivision on a retrospective basis pursuant to ASC 260, Earnings Per Share. All issued and outstanding common stock, stock option awards, restricted share units, exercise prices and per share data have been adjusted in these consolidated financial statements, on a retrospective basis, to reflect the Share Subdivision for all periods presented.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Net revenues </w:t>
            </w:r>
            <w:r>
              <w:rPr/>
              <w:t>were RMB860.8 million (US$126.9 million) for the second quarter of 2026, representing an increase of 21.9% from RMB706.4 million for the same period of 2025. Product revenues were RMB859.7 million (US$126.7 million) for the second quarter of 2026, representing an increase of 22.9% from RMB699.4 million for the same period of 2025. The year-over-year increase was mainly attributable to increased deliveries of both ADAS and Robotics lidar products driven by robust demand, both in China and globally, partially offset by a decrease in average selling prices. Service revenues were RMB1.1 million (US$0.2 million) for the second quarter of 2026, representing a decrease of 84.3% from RMB7.0 million for the same period of 2025. The year-over-year decrease was mainly driven by lower revenues from non-recurring engineering services.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Cost of revenues </w:t>
            </w:r>
            <w:r>
              <w:rPr/>
              <w:t>was RMB515.6 million (US$76.0 million) for the second quarter of 2026, representing an increase of 27.0% from RMB405.9 million for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Gross margin </w:t>
            </w:r>
            <w:r>
              <w:rPr/>
              <w:t>was 40.1% for the second quarter of 2026, compared with 42.5% for the same period of 2025. The year-over-year decrease in gross margin was mainly attributable to a higher revenue contribution from products with relatively lower margins.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Sales and marketing expenses </w:t>
            </w:r>
            <w:r>
              <w:rPr/>
              <w:t>were RMB49.6 million (US$7.3 million) for the second quarter of 2026, representing an increase of 17.2% from RMB42.3 million for the same period of 2025. The increase was mainly driven by an increase in payroll expenses of RMB5.5 million (US$0.8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General and administrative expenses </w:t>
            </w:r>
            <w:r>
              <w:rPr/>
              <w:t>were RMB67.0 million (US$9.9 million) for the second quarter of 2026, representing an increase of 5.1% from RMB63.7 million for the same period of 2025. The increase was mainly driven by an increase in professional service fees of RMB1.4 million (US$0.2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Research and development expenses </w:t>
            </w:r>
            <w:r>
              <w:rPr/>
              <w:t>were RMB231.2 million (US$34.1 million) for the second quarter of 2026, representing an increase of 16.0% from RMB199.2 million for the same period of 2025. The year-over-year increase was mainly due to an increase in payroll expenses of RMB22.7 million (US$3.3 million) and an increase in cost of materials of RMB6.3 million (US$0.9 million), reflecting our incremental investment in SGI.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Income from operations </w:t>
            </w:r>
            <w:r>
              <w:rPr/>
              <w:t>was RMB2.2 million (US$0.3 million) for the second quarter of 2026, compared with income from operations of RMB22.9 million for the same period of 2025. Excluding share-based compensation expenses, non-GAAP income from operations was RMB33.0 million (US$4.9 million) for the second quarter of 2026, compared with non-GAAP income from operations of RMB52.1 million for the second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Net income </w:t>
            </w:r>
            <w:r>
              <w:rPr/>
              <w:t>was RMB70.6 million (US$10.4 million) for the second quarter of 2026, representing an increase of 60.0% from RMB44.1 million for the same period of 2025. Excluding share-based compensation expenses, non-GAAP net income was RMB101.3 million (US$14.9 million) for the second quarter of 2026, representing an increase of 38.3% from RMB73.3 million for the same period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Net income attributable to ordinary shareholders of the Company </w:t>
            </w:r>
            <w:r>
              <w:rPr/>
              <w:t>was RMB70.6 million (US$10.4 million) for the second quarter of 2026, representing an increase of 60.0% from RMB44.1 million for the same period of 2025. Excluding share-based compensation expenses, non-GAAP net income attributable to ordinary shareholders of the Company was RMB101.3 million (US$14.9 million) for the second quarter of 2026, representing an increase of 38.3% from RMB73.3 million for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 xml:space="preserve">Basic and diluted net income per ordinary share </w:t>
            </w:r>
            <w:r>
              <w:rPr/>
              <w:t>were RMB0.06 (US$0.01) and RMB0.05 (US$0.01), respectively, for the second quarter of 2026. Excluding share-based compensation expenses, non-GAAP basic and diluted net income per ordinary share were RMB0.08 (US$0.01) and RMB0.08 (US$0.01), respectively, for the second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Cash reserve</w:t>
            </w:r>
            <w:r>
              <w:rPr>
                <w:b/>
                <w:position w:val="7"/>
                <w:sz w:val="16"/>
                <w:sz w:val="20"/>
              </w:rPr>
              <w:t>5</w:t>
            </w:r>
            <w:r>
              <w:rPr/>
              <w:t xml:space="preserve"> was RMB7,050.6 million (US$1,039.1 million) as of June 30, 2026, compared with RMB7,231.7 million as of March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of 2026, the Company expects net revenues to be between RMB1,100 million (US$162 million) and RMB1,150 million (US$169 million), representing a year-over-year increase of approximately 38% to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outlook is based on current market conditions and reflects the Company’s preliminary estimates of market and operating conditions and customer demand, which are all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host an earnings conference call at 8:00 AM U.S. Eastern Time on August 18, 2026 (8:00 PM Beijing/Hong Kong Time on 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call by phone, please access the link provided below to complete the pre-registration process and dial in 5 minutes prior to the scheduled call start time. Upon registration, each participant will receive dial-in details to join the conference call.</w:t>
      </w:r>
    </w:p>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2090"/>
        <w:gridCol w:w="5885"/>
      </w:tblGrid>
      <w:tr>
        <w:trPr/>
        <w:tc>
          <w:tcPr>
            <w:tcW w:w="2090" w:type="dxa"/>
            <w:tcBorders/>
            <w:vAlign w:val="center"/>
          </w:tcPr>
          <w:p>
            <w:pPr>
              <w:pStyle w:val="TableContents"/>
              <w:bidi w:val="0"/>
              <w:spacing w:before="0" w:after="283"/>
              <w:jc w:val="left"/>
              <w:rPr/>
            </w:pPr>
            <w:r>
              <w:rPr/>
              <w:t xml:space="preserve">Event Title: </w:t>
            </w:r>
          </w:p>
        </w:tc>
        <w:tc>
          <w:tcPr>
            <w:tcW w:w="5885" w:type="dxa"/>
            <w:tcBorders/>
            <w:vAlign w:val="center"/>
          </w:tcPr>
          <w:p>
            <w:pPr>
              <w:pStyle w:val="TableContents"/>
              <w:bidi w:val="0"/>
              <w:spacing w:before="0" w:after="283"/>
              <w:jc w:val="left"/>
              <w:rPr/>
            </w:pPr>
            <w:r>
              <w:rPr/>
              <w:t xml:space="preserve">Hesai Group Second Quarter 2026 Earnings Conference Call </w:t>
            </w:r>
          </w:p>
        </w:tc>
      </w:tr>
      <w:tr>
        <w:trPr/>
        <w:tc>
          <w:tcPr>
            <w:tcW w:w="2090" w:type="dxa"/>
            <w:tcBorders/>
            <w:vAlign w:val="center"/>
          </w:tcPr>
          <w:p>
            <w:pPr>
              <w:pStyle w:val="TableContents"/>
              <w:bidi w:val="0"/>
              <w:spacing w:before="0" w:after="283"/>
              <w:jc w:val="left"/>
              <w:rPr/>
            </w:pPr>
            <w:r>
              <w:rPr/>
              <w:t xml:space="preserve">Pre-registration Link: </w:t>
            </w:r>
          </w:p>
        </w:tc>
        <w:tc>
          <w:tcPr>
            <w:tcW w:w="5885" w:type="dxa"/>
            <w:tcBorders/>
            <w:vAlign w:val="center"/>
          </w:tcPr>
          <w:p>
            <w:pPr>
              <w:pStyle w:val="TableContents"/>
              <w:bidi w:val="0"/>
              <w:spacing w:before="0" w:after="283"/>
              <w:jc w:val="left"/>
              <w:rPr/>
            </w:pPr>
            <w:r>
              <w:rPr/>
              <w:t>https://s1.c-conf.com/diamondpass/10056124-5hw8f8.html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live and archived webcast of the conference call will be available on the Company’s investor relations website at https://investor.hesaitech.com.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conference call will be accessible approximately an hour after the conclusion of the call until August 25, 2026, by dialing the following telephone numbers:</w:t>
      </w:r>
    </w:p>
    <w:p>
      <w:pPr>
        <w:pStyle w:val="TextBody"/>
        <w:bidi w:val="0"/>
        <w:spacing w:before="0" w:after="0"/>
        <w:ind w:left="0" w:right="0" w:hanging="0"/>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1925"/>
        <w:gridCol w:w="1715"/>
      </w:tblGrid>
      <w:tr>
        <w:trPr/>
        <w:tc>
          <w:tcPr>
            <w:tcW w:w="1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17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+1-855-883-1031</w:t>
            </w:r>
          </w:p>
        </w:tc>
      </w:tr>
      <w:tr>
        <w:trPr/>
        <w:tc>
          <w:tcPr>
            <w:tcW w:w="1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International:</w:t>
            </w:r>
          </w:p>
        </w:tc>
        <w:tc>
          <w:tcPr>
            <w:tcW w:w="17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+61-7-3107-6325</w:t>
            </w:r>
          </w:p>
        </w:tc>
      </w:tr>
      <w:tr>
        <w:trPr/>
        <w:tc>
          <w:tcPr>
            <w:tcW w:w="1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Hong Kong, China:</w:t>
            </w:r>
          </w:p>
        </w:tc>
        <w:tc>
          <w:tcPr>
            <w:tcW w:w="17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800-930-639</w:t>
            </w:r>
          </w:p>
        </w:tc>
      </w:tr>
      <w:tr>
        <w:trPr/>
        <w:tc>
          <w:tcPr>
            <w:tcW w:w="1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 Mainland:</w:t>
            </w:r>
          </w:p>
        </w:tc>
        <w:tc>
          <w:tcPr>
            <w:tcW w:w="17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400-120-9216</w:t>
            </w:r>
          </w:p>
        </w:tc>
      </w:tr>
      <w:tr>
        <w:trPr/>
        <w:tc>
          <w:tcPr>
            <w:tcW w:w="19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Replay PIN:</w:t>
            </w:r>
          </w:p>
        </w:tc>
        <w:tc>
          <w:tcPr>
            <w:tcW w:w="17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10056124</w:t>
            </w:r>
          </w:p>
        </w:tc>
      </w:tr>
      <w:tr>
        <w:trPr/>
        <w:tc>
          <w:tcPr>
            <w:tcW w:w="192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Cash reserve represents cash and cash equivalents, restricted cash, short-term investments (exclude stock investment) and long-term time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Hesai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Hesai Technology (Nasdaq: HSAI; HKEX: 2525) is a global tech company and a leader in 3D perception. Leveraging full-stack proprietary ASIC capabilities and an integrated R&amp;D-testing-manufacturing approach, Hesai has established industry-leading positions across core physical AI domains, including ADAS-equipped passenger vehicles, autonomous mobility, spatial intelligence, embodied AI, as well as industrial, agricultural, and service robots. Hesai has established offices in Shanghai, Palo Alto, and Stuttgart, and operates in-house factories in China and Thailand, with customers spanning more than 40 countries. As the AI-driven Fourth Industrial Revolution accelerates, Hesai is committed to becoming a key enabler of physical AI – digitizing the real world and redefining how humans and robots perceive and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Hesai’s consolidated financial results presented in accordance with GAAP, Hesai uses the following measures defined as non-GAAP financial measures by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income/loss from operations excluding share-based compensation expenses, net income excluding share-based compensation expenses, net income attributable to ordinary shareholders excluding share-based compensation, and per ordinary share net income attributable to ordinary shareholders excluding share-based compensation. The presentation of these non-GAAP financial measures is not intended to be considered in isolation or as a substitute for the financial information prepared and presented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Hesai believes that these non-GAAP financial measures provide meaningful supplemental information regarding its performance and liquidity by excluding share-based compensation expenses that may not be indicative of its operating performance from a cash perspective. Hesai believes that both management and investors benefit from referring to these non-GAAP financial measures in assessing its performance and when planning and forecasting future periods. These non-GAAP financial measures also facilitate management’s internal comparisons to Hesai’s historical performance and liquidity. Hesai believes these non-GAAP financial measures are useful to investors in allowing for greater transparency with respect to supplemental information used by management in its financial and operational decision making. A limitation of using these non-GAAP financial measures is that they exclude share-based compensation expenses that have been and will continue to be for the foreseeable future a significant recurring expense in our business. Management compensates for these limitations by providing specific information regarding the GAAP amounts excluded from each non-GAAP financial measure. The accompanying tables have more details on the reconciliations between GAAP financial measures that are most directly comparable to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RMB amounts into U.S. dollars at a specified rate solely for the convenience of the reader. Unless otherwise noted, all translations from RMB to U.S. dollars and from U.S. dollars to RMB are made at a rate of RMB6.7851 to US$1.00, the exchange rate on June 30, 2026, set forth in the H.10 statistical release of the Federal Reserve Board. The Company makes no representation that the RMB or U.S. dollars amounts referred to could be converted into U.S. dollars or RMB, as the case may be, at any particular rate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the business outlook and quotations from management in this announcement, as well as the Company’s strategic and operational plans, contain forward-looking statements. The Company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but not limited to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expected changes in the Company’s revenues, costs or expenditures; the trends in, expected growth and the market size of the ADAS and Robotics industries; the market for and adoption of lidar and related technology; the Company’s ability to produce high-quality products with wide market acceptance; the success of the Company’s customers in developing and commercializing products using its solutions, and the market acceptance of those products; the Company’s ability to introduce new products that meet its customers’ requirements; the Company’s expectations regarding the effectiveness of its marketing initiatives and the relationship with its third-party partners; competition in the Company’s industry; the Company’s ability to recruit and retain qualified personnel; relevant government policies and regulations relating to the Company’s industry; the Company’s ability to protect its systems and infrastructures from cyber-attacks; general economic and business conditions globally and in China; and assumptions underlying or related to any of the foregoing. Further information regarding these and other risks is included in the Company’s filings with the SEC. All information provided in this announcement and in the attachments is as of the date of this announcement, and the Company undertakes no obligation to update any forward-looking statement, except as required under applicable law. In the event of any inconsistency between the English version of this earnings release and its Chinese translation, the English version of this document shall prevail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Hesai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Markets Department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ir@hesaitech.com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+86-10-5900-1548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hesai@christensencomms.com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Hesai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6814" w:type="dxa"/>
        <w:jc w:val="left"/>
        <w:tblInd w:w="0" w:type="dxa"/>
        <w:tblLayout w:type="fixed"/>
        <w:tblCellMar>
          <w:top w:w="0" w:type="dxa"/>
          <w:left w:w="0" w:type="dxa"/>
          <w:bottom w:w="0" w:type="dxa"/>
          <w:right w:w="0" w:type="dxa"/>
        </w:tblCellMar>
      </w:tblPr>
      <w:tblGrid>
        <w:gridCol w:w="3350"/>
        <w:gridCol w:w="60"/>
        <w:gridCol w:w="69"/>
        <w:gridCol w:w="1105"/>
        <w:gridCol w:w="60"/>
        <w:gridCol w:w="60"/>
        <w:gridCol w:w="60"/>
        <w:gridCol w:w="950"/>
        <w:gridCol w:w="60"/>
        <w:gridCol w:w="60"/>
        <w:gridCol w:w="60"/>
        <w:gridCol w:w="845"/>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29"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1,510,094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3,091,856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5,139,710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1,262,220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1,099,745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162,082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670,453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868,501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282,431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369,958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7,069,163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9,136,237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1,346,515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1,099,283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1,129,146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166,416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2,781,670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452,304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66,661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Land-use rights,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4,192,115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1,867,925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275,298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11,261,278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11,004,162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1,621,813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40" w:type="dxa"/>
        <w:jc w:val="left"/>
        <w:tblInd w:w="0" w:type="dxa"/>
        <w:tblLayout w:type="fixed"/>
        <w:tblCellMar>
          <w:top w:w="0" w:type="dxa"/>
          <w:left w:w="0" w:type="dxa"/>
          <w:bottom w:w="0" w:type="dxa"/>
          <w:right w:w="0" w:type="dxa"/>
        </w:tblCellMar>
      </w:tblPr>
      <w:tblGrid>
        <w:gridCol w:w="4955"/>
        <w:gridCol w:w="60"/>
        <w:gridCol w:w="1175"/>
        <w:gridCol w:w="80"/>
        <w:gridCol w:w="950"/>
        <w:gridCol w:w="80"/>
        <w:gridCol w:w="845"/>
        <w:gridCol w:w="95"/>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0"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w:t>
            </w:r>
          </w:p>
        </w:tc>
        <w:tc>
          <w:tcPr>
            <w:tcW w:w="95"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875"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448,233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395,490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592,560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658,114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warranty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578,495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418,539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1,895,335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1,702,530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250,923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278,727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407,189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350,941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51,722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2,302,524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2,053,471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302,645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11,925,963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11,992,137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1,767,422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(23,076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(2,973,845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(2,884,980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(425,194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8,958,754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8,950,691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1,319,168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11,261,278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11,004,162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1,621,813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(LOSS)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9101" w:type="dxa"/>
        <w:jc w:val="left"/>
        <w:tblInd w:w="0" w:type="dxa"/>
        <w:tblLayout w:type="fixed"/>
        <w:tblCellMar>
          <w:top w:w="0" w:type="dxa"/>
          <w:left w:w="0" w:type="dxa"/>
          <w:bottom w:w="0" w:type="dxa"/>
          <w:right w:w="0" w:type="dxa"/>
        </w:tblCellMar>
      </w:tblPr>
      <w:tblGrid>
        <w:gridCol w:w="6470"/>
        <w:gridCol w:w="60"/>
        <w:gridCol w:w="791"/>
        <w:gridCol w:w="83"/>
        <w:gridCol w:w="791"/>
        <w:gridCol w:w="83"/>
        <w:gridCol w:w="728"/>
        <w:gridCol w:w="95"/>
      </w:tblGrid>
      <w:tr>
        <w:trPr/>
        <w:tc>
          <w:tcPr>
            <w:tcW w:w="6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6"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9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1602"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9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72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706,388</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860,827</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126,870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(405,910</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(515,578</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(75,987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300,478</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345,249</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50,883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(42,311</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(49,572</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(63,720</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(66,968</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(199,219</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(231,173</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(34,071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27,624</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4,659</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(277,626</w:t>
            </w:r>
          </w:p>
        </w:tc>
        <w:tc>
          <w:tcPr>
            <w:tcW w:w="8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(343,054</w:t>
            </w:r>
          </w:p>
        </w:tc>
        <w:tc>
          <w:tcPr>
            <w:tcW w:w="8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(50,559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22,852</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2,195</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20,967</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58,950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(6,545</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(4,102</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36,566</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income/(loss),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6,936</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(23,182</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(loss)/income,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before income tax and share of loss in equity method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44,191</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70,553</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loss in equity method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44,086</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70,550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ordinary shareholders of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44,086</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70,550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75"/>
        <w:gridCol w:w="60"/>
        <w:gridCol w:w="1205"/>
        <w:gridCol w:w="80"/>
        <w:gridCol w:w="1205"/>
        <w:gridCol w:w="80"/>
        <w:gridCol w:w="1205"/>
        <w:gridCol w:w="95"/>
      </w:tblGrid>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75"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9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49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earnings per share:</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ordinary shares used in calculating net earnings per share:</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1,059,310,800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1,252,428,344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1,252,428,344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1,113,553,640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1,302,394,120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1,302,394,120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44,086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 net of tax of nil:</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income/(loss), net of tax of nil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42,433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(9,375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(1,382</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42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(LOSS)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9230" w:type="dxa"/>
        <w:jc w:val="left"/>
        <w:tblInd w:w="0" w:type="dxa"/>
        <w:tblLayout w:type="fixed"/>
        <w:tblCellMar>
          <w:top w:w="0" w:type="dxa"/>
          <w:left w:w="0" w:type="dxa"/>
          <w:bottom w:w="0" w:type="dxa"/>
          <w:right w:w="0" w:type="dxa"/>
        </w:tblCellMar>
      </w:tblPr>
      <w:tblGrid>
        <w:gridCol w:w="6470"/>
        <w:gridCol w:w="60"/>
        <w:gridCol w:w="845"/>
        <w:gridCol w:w="80"/>
        <w:gridCol w:w="845"/>
        <w:gridCol w:w="80"/>
        <w:gridCol w:w="755"/>
        <w:gridCol w:w="95"/>
      </w:tblGrid>
      <w:tr>
        <w:trPr/>
        <w:tc>
          <w:tcPr>
            <w:tcW w:w="6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05"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168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center"/>
              <w:rPr/>
            </w:pPr>
            <w:r>
              <w:rPr/>
              <w:t> </w:t>
            </w:r>
          </w:p>
        </w:tc>
      </w:tr>
      <w:tr>
        <w:trPr/>
        <w:tc>
          <w:tcPr>
            <w:tcW w:w="6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1,231,690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1,541,382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227,172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(711,977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(930,113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(137,082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519,713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611,269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90,090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(17,648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(382,525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(435,846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(530,309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(617,635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(91,028</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4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(10,596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(6,366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(938</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income/(loss),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(loss)/income,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before income tax and share of loss in equity method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loss in equity method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ordinary shareholders of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95"/>
        <w:gridCol w:w="60"/>
        <w:gridCol w:w="1205"/>
        <w:gridCol w:w="60"/>
        <w:gridCol w:w="1205"/>
        <w:gridCol w:w="80"/>
        <w:gridCol w:w="1205"/>
        <w:gridCol w:w="95"/>
      </w:tblGrid>
      <w:tr>
        <w:trPr/>
        <w:tc>
          <w:tcPr>
            <w:tcW w:w="6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2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earnings per share:</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ordinary shares used in calculating net earnings per share:</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1,055,503,080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1,251,081,328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1,251,081,328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1,111,618,112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1,303,746,620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1,303,746,620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income/(loss), net of tax of nil:</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(24,038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income/(loss), net of tax of nil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56,782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(74,237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(10,941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RECONCILIATIONS OF GAAP AND NON-GAAP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35"/>
        <w:gridCol w:w="60"/>
        <w:gridCol w:w="1205"/>
        <w:gridCol w:w="60"/>
        <w:gridCol w:w="1205"/>
        <w:gridCol w:w="60"/>
        <w:gridCol w:w="1205"/>
        <w:gridCol w:w="75"/>
      </w:tblGrid>
      <w:tr>
        <w:trPr/>
        <w:tc>
          <w:tcPr>
            <w:tcW w:w="6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35"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52,050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expenses, net of tax of nil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73,284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101,323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ordinary shareholders of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expenses, net of tax of nil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attributable to ordinary shareholders of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73,284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101,323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shares used in calculating net earnings per share</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1,059,310,800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1,252,428,344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1,252,428,344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1,113,553,640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1,302,394,120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1,302,394,120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earnings per share</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RECONCILIATIONS OF GAAP AND NON-GAAP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75"/>
        <w:gridCol w:w="60"/>
        <w:gridCol w:w="1205"/>
        <w:gridCol w:w="80"/>
        <w:gridCol w:w="1205"/>
        <w:gridCol w:w="80"/>
        <w:gridCol w:w="1205"/>
        <w:gridCol w:w="95"/>
      </w:tblGrid>
      <w:tr>
        <w:trPr/>
        <w:tc>
          <w:tcPr>
            <w:tcW w:w="6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75"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249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12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53,840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expenses, net of tax of nil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81,921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149,071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ordinary shareholders of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expenses, net of tax of nil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attributable to ordinary shareholders of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149,071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shares used in calculating net earnings per share</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1,055,503,080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1,251,081,328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1,251,081,328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1,111,618,112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1,303,746,620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1,303,746,620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earnings per share</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FINANCIAL INFORMATION BY SEGMENT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7437" w:type="dxa"/>
        <w:jc w:val="left"/>
        <w:tblInd w:w="0" w:type="dxa"/>
        <w:tblLayout w:type="fixed"/>
        <w:tblCellMar>
          <w:top w:w="0" w:type="dxa"/>
          <w:left w:w="0" w:type="dxa"/>
          <w:bottom w:w="0" w:type="dxa"/>
          <w:right w:w="0" w:type="dxa"/>
        </w:tblCellMar>
      </w:tblPr>
      <w:tblGrid>
        <w:gridCol w:w="3755"/>
        <w:gridCol w:w="60"/>
        <w:gridCol w:w="1047"/>
        <w:gridCol w:w="110"/>
        <w:gridCol w:w="1213"/>
        <w:gridCol w:w="110"/>
        <w:gridCol w:w="1047"/>
        <w:gridCol w:w="9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27"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47"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47"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Lidar</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Initiatives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21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104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815,884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44,943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860,827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and 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(749,648</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(108,984</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(858,632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66,236</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(64,041</w:t>
            </w:r>
          </w:p>
        </w:tc>
        <w:tc>
          <w:tcPr>
            <w:tcW w:w="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4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w:t>
            </w:r>
          </w:p>
        </w:tc>
        <w:tc>
          <w:tcPr>
            <w:tcW w:w="60"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 net</w:t>
            </w:r>
          </w:p>
        </w:tc>
        <w:tc>
          <w:tcPr>
            <w:tcW w:w="60"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(23,182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before income tax</w:t>
            </w:r>
          </w:p>
        </w:tc>
        <w:tc>
          <w:tcPr>
            <w:tcW w:w="60"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0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04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FINANCIAL INFORMATION BY SEGMENT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7241" w:type="dxa"/>
        <w:jc w:val="left"/>
        <w:tblInd w:w="0" w:type="dxa"/>
        <w:tblLayout w:type="fixed"/>
        <w:tblCellMar>
          <w:top w:w="0" w:type="dxa"/>
          <w:left w:w="0" w:type="dxa"/>
          <w:bottom w:w="0" w:type="dxa"/>
          <w:right w:w="0" w:type="dxa"/>
        </w:tblCellMar>
      </w:tblPr>
      <w:tblGrid>
        <w:gridCol w:w="3755"/>
        <w:gridCol w:w="60"/>
        <w:gridCol w:w="1060"/>
        <w:gridCol w:w="93"/>
        <w:gridCol w:w="1025"/>
        <w:gridCol w:w="93"/>
        <w:gridCol w:w="1060"/>
        <w:gridCol w:w="9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1"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10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10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Lidar</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Initiatives</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10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1,496,439</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44,943</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1,541,382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and 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(1,388,259</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(159,489</w:t>
            </w:r>
          </w:p>
        </w:tc>
        <w:tc>
          <w:tcPr>
            <w:tcW w:w="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(1,547,748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108,180</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(114,546</w:t>
            </w:r>
          </w:p>
        </w:tc>
        <w:tc>
          <w:tcPr>
            <w:tcW w:w="9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(6,366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 net</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before income tax</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88,865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sz w:val="20"/>
          <w:bdr w:val="single" w:sz="8" w:space="1" w:color="000000"/>
        </w:rPr>
      </w:pPr>
      <w:r>
        <w:rPr>
          <w:sz w:val="20"/>
          <w:bdr w:val="single" w:sz="8" w:space="1" w:color="000000"/>
        </w:rPr>
        <w:t>18</w:t>
      </w:r>
    </w:p>
    <w:p>
      <w:pPr>
        <w:pStyle w:val="TextBody"/>
        <w:bidi w:val="0"/>
        <w:ind w:left="0" w:right="0" w:hanging="0"/>
        <w:jc w:val="left"/>
        <w:rPr/>
      </w:pPr>
      <w:bookmarkStart w:id="4" w:name="tm2623467d1_ex99-2.htm"/>
      <w:bookmarkStart w:id="5" w:name="kstm2623467d1_ex992"/>
      <w:bookmarkEnd w:id="4"/>
      <w:bookmarkEnd w:id="5"/>
      <w:r>
        <w:rPr/>
        <w:t> </w:t>
      </w:r>
      <w:r>
        <w:br w:type="page"/>
      </w:r>
    </w:p>
    <w:p>
      <w:pPr>
        <w:pStyle w:val="TextBody"/>
        <w:bidi w:val="0"/>
        <w:jc w:val="right"/>
        <w:rPr>
          <w:b/>
          <w:sz w:val="20"/>
        </w:rPr>
      </w:pPr>
      <w:r>
        <w:rPr>
          <w:b/>
          <w:sz w:val="20"/>
        </w:rPr>
        <w:t>Exhibit 99.2</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4315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43150" cy="552450"/>
                    </a:xfrm>
                    <a:prstGeom prst="rect">
                      <a:avLst/>
                    </a:prstGeom>
                  </pic:spPr>
                </pic:pic>
              </a:graphicData>
            </a:graphic>
          </wp:inline>
        </w:drawing>
      </w: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jc w:val="center"/>
        <w:rPr>
          <w:caps w:val="false"/>
          <w:smallCaps w:val="false"/>
        </w:rPr>
      </w:pPr>
      <w:r>
        <w:rPr>
          <w:rFonts w:eastAsia="Times New Roman;Times;Serif"/>
          <w:b/>
          <w:i w:val="false"/>
          <w:caps w:val="false"/>
          <w:smallCaps w:val="false"/>
          <w:sz w:val="20"/>
        </w:rPr>
        <w:t xml:space="preserve">禾 賽 科 技 </w:t>
      </w:r>
      <w:r>
        <w:rPr>
          <w:rFonts w:ascii="Times New Roman;Times;Serif" w:hAnsi="Times New Roman;Times;Serif"/>
          <w:b/>
          <w:i w:val="false"/>
          <w:caps w:val="false"/>
          <w:smallCaps w:val="false"/>
          <w:sz w:val="20"/>
        </w:rPr>
        <w:t>*</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2525)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HSAI)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RESULTS ANNOUNCEMENT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directors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of Hesai Group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pleased to announce the unaudited interim consolidated results of the Company and its subsidiaries (together,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for the six months ended June 30, 2026 (the “</w:t>
      </w:r>
      <w:r>
        <w:rPr>
          <w:rFonts w:ascii="Times New Roman;Times;Serif" w:hAnsi="Times New Roman;Times;Serif"/>
          <w:b/>
          <w:i w:val="false"/>
          <w:caps w:val="false"/>
          <w:smallCaps w:val="false"/>
          <w:sz w:val="20"/>
        </w:rPr>
        <w:t>Reporting Period</w:t>
      </w:r>
      <w:r>
        <w:rPr>
          <w:rFonts w:ascii="Times New Roman;Times;Serif" w:hAnsi="Times New Roman;Times;Serif"/>
          <w:b w:val="false"/>
          <w:i w:val="false"/>
          <w:caps w:val="false"/>
          <w:smallCaps w:val="false"/>
          <w:sz w:val="20"/>
        </w:rPr>
        <w:t>”), together with the comparative figures for the corresponding period in 2025. These interim results have been prepared under generally accepted accounting principles in the United States of America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which are different from the IFRS Accounting Standards.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announcement, “we,” “us,” and “our” refer to the Company and where the context otherwise requires, the Group (as defined under the section headed “General Information” in the “Notes to the Condensed Consolidated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140"/>
        <w:gridCol w:w="2690"/>
      </w:tblGrid>
      <w:tr>
        <w:trPr/>
        <w:tc>
          <w:tcPr>
            <w:tcW w:w="140" w:type="dxa"/>
            <w:tcBorders/>
            <w:vAlign w:val="center"/>
          </w:tcPr>
          <w:p>
            <w:pPr>
              <w:pStyle w:val="TableContents"/>
              <w:bidi w:val="0"/>
              <w:spacing w:before="0" w:after="283"/>
              <w:jc w:val="left"/>
              <w:rPr>
                <w:sz w:val="20"/>
              </w:rPr>
            </w:pPr>
            <w:r>
              <w:rPr>
                <w:sz w:val="20"/>
              </w:rPr>
              <w:t>*</w:t>
            </w:r>
          </w:p>
        </w:tc>
        <w:tc>
          <w:tcPr>
            <w:tcW w:w="2690" w:type="dxa"/>
            <w:tcBorders/>
            <w:vAlign w:val="center"/>
          </w:tcPr>
          <w:p>
            <w:pPr>
              <w:pStyle w:val="TableContents"/>
              <w:bidi w:val="0"/>
              <w:spacing w:before="0" w:after="283"/>
              <w:jc w:val="both"/>
              <w:rPr>
                <w:i/>
                <w:sz w:val="20"/>
              </w:rPr>
            </w:pPr>
            <w:r>
              <w:rPr>
                <w:i/>
                <w:sz w:val="20"/>
              </w:rPr>
              <w:t>For identification purposes only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OPERATIONAL AND FINANCIAL HIGHLIGHTS FOR THE SIX MONTHS ENDED JUNE 30, 2026</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b/>
                <w:sz w:val="20"/>
              </w:rPr>
              <w:t xml:space="preserve">ADAS lidar shipments </w:t>
            </w:r>
            <w:r>
              <w:rPr>
                <w:sz w:val="20"/>
              </w:rPr>
              <w:t>were 839,345 units for the six months ended June 30, 2026, representing an increase of 86.7% from 449,651 units for the six months ended June 30, 2025.</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b/>
                <w:sz w:val="20"/>
              </w:rPr>
              <w:t xml:space="preserve">Robotics lidar shipments </w:t>
            </w:r>
            <w:r>
              <w:rPr>
                <w:sz w:val="20"/>
              </w:rPr>
              <w:t>were 260,653 units for the six months ended June 30, 2026, representing an increase of 165.3% from 98,262 units for the six months ended June 30, 2025.</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b/>
                <w:sz w:val="20"/>
              </w:rPr>
              <w:t xml:space="preserve">Total lidar shipments </w:t>
            </w:r>
            <w:r>
              <w:rPr>
                <w:sz w:val="20"/>
              </w:rPr>
              <w:t>were 1,099,998 units for the six months ended June 30, 2026, representing an increase of 100.8% from 547,913 units for the six months ended June 30, 2025.</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b/>
                <w:sz w:val="20"/>
              </w:rPr>
              <w:t xml:space="preserve">Net revenues </w:t>
            </w:r>
            <w:r>
              <w:rPr>
                <w:sz w:val="20"/>
              </w:rPr>
              <w:t>were RMB1,541.4 million (US$227.2 million)</w:t>
            </w:r>
            <w:r>
              <w:rPr>
                <w:position w:val="7"/>
                <w:sz w:val="16"/>
                <w:sz w:val="20"/>
              </w:rPr>
              <w:t>1</w:t>
            </w:r>
            <w:r>
              <w:rPr>
                <w:sz w:val="20"/>
              </w:rPr>
              <w:t xml:space="preserve"> for the six months ended June 30, 2026, representing an increase of 25.1% from RMB1,231.7 million for the six months ended June 30, 2025.</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b/>
                <w:sz w:val="20"/>
              </w:rPr>
              <w:t xml:space="preserve">Gross margin </w:t>
            </w:r>
            <w:r>
              <w:rPr>
                <w:sz w:val="20"/>
              </w:rPr>
              <w:t>was 39.7% for the six months ended June 30, 2026, compared with 42.2% for the six months ended June 30, 2025.</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b/>
                <w:sz w:val="20"/>
              </w:rPr>
              <w:t xml:space="preserve">Loss from operations </w:t>
            </w:r>
            <w:r>
              <w:rPr>
                <w:sz w:val="20"/>
              </w:rPr>
              <w:t>was RMB6.4 million (US$0.9 million) for the six months ended June 30, 2026, compared with loss from operations of RMB10.6 million for the six months ended June 30, 2025. Excluding share-based compensation expenses, non-GAAP</w:t>
            </w:r>
            <w:r>
              <w:rPr>
                <w:position w:val="7"/>
                <w:sz w:val="16"/>
                <w:sz w:val="20"/>
              </w:rPr>
              <w:t>2</w:t>
            </w:r>
            <w:r>
              <w:rPr>
                <w:sz w:val="20"/>
              </w:rPr>
              <w:t xml:space="preserve"> income from operations was RMB53.8 million (US$7.9 million) for the six months ended June 30, 2026, compared with non-GAAP income from operations of RMB44.8 million for the six months ended June 30, 2025.</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b/>
                <w:sz w:val="20"/>
              </w:rPr>
              <w:t xml:space="preserve">Net income </w:t>
            </w:r>
            <w:r>
              <w:rPr>
                <w:sz w:val="20"/>
              </w:rPr>
              <w:t>was RMB88.9 million (US$13.1 million) for the six months ended June 30, 2026, representing an increase of 234.9% from RMB26.5 million for the six months ended June 30, 2025. Excluding share-based compensation expenses, non-GAAP net income was RMB149.1 million (US$22.0 million) for the six months ended June 30, 2026, representing an increase of 82.1% from RMB81.9 million for the six months ended June 30, 2025.</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both"/>
              <w:rPr>
                <w:sz w:val="20"/>
              </w:rPr>
            </w:pPr>
            <w:r>
              <w:rPr>
                <w:b/>
                <w:sz w:val="20"/>
              </w:rPr>
              <w:t xml:space="preserve">Basic and diluted net income per ordinary share </w:t>
            </w:r>
            <w:r>
              <w:rPr>
                <w:sz w:val="20"/>
              </w:rPr>
              <w:t>were RMB0.07 (US$0.01) and RMB0.07 (US$0.01), respectively, for the six months ended June 30, 2026. Excluding share-based compensation expenses, non-GAAP basic and diluted net income per ordinary share were RMB0.12 (US$0.02) and RMB0.11 (US$0.02), respectively, for the six months ended June 30, 2026.</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position w:val="7"/>
                <w:sz w:val="16"/>
                <w:sz w:val="20"/>
              </w:rPr>
              <w:t>1</w:t>
            </w:r>
            <w:r>
              <w:rPr>
                <w:sz w:val="20"/>
              </w:rPr>
              <w:t> </w:t>
            </w:r>
          </w:p>
        </w:tc>
        <w:tc>
          <w:tcPr>
            <w:tcW w:w="10035" w:type="dxa"/>
            <w:tcBorders/>
            <w:vAlign w:val="center"/>
          </w:tcPr>
          <w:p>
            <w:pPr>
              <w:pStyle w:val="TableContents"/>
              <w:bidi w:val="0"/>
              <w:spacing w:before="0" w:after="283"/>
              <w:jc w:val="both"/>
              <w:rPr>
                <w:sz w:val="20"/>
              </w:rPr>
            </w:pPr>
            <w:r>
              <w:rPr>
                <w:sz w:val="20"/>
              </w:rPr>
              <w:t>All translations from RMB to USD for the six months ended June 30, 2026 were made at the exchange rate of RMB6.7851 to US$1.00, the exchange rate on June 30, 2026, set forth in the H.10 statistical release of the Federal Reserve Board.</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283"/>
              <w:jc w:val="left"/>
              <w:rPr>
                <w:sz w:val="20"/>
              </w:rPr>
            </w:pPr>
            <w:r>
              <w:rPr>
                <w:position w:val="7"/>
                <w:sz w:val="16"/>
                <w:sz w:val="20"/>
              </w:rPr>
              <w:t>2</w:t>
            </w:r>
            <w:r>
              <w:rPr>
                <w:sz w:val="20"/>
              </w:rPr>
              <w:t> </w:t>
            </w:r>
          </w:p>
        </w:tc>
        <w:tc>
          <w:tcPr>
            <w:tcW w:w="7685" w:type="dxa"/>
            <w:tcBorders/>
            <w:vAlign w:val="center"/>
          </w:tcPr>
          <w:p>
            <w:pPr>
              <w:pStyle w:val="TableContents"/>
              <w:bidi w:val="0"/>
              <w:spacing w:before="0" w:after="283"/>
              <w:jc w:val="both"/>
              <w:rPr>
                <w:sz w:val="20"/>
              </w:rPr>
            </w:pPr>
            <w:r>
              <w:rPr>
                <w:sz w:val="20"/>
              </w:rPr>
              <w:t>See “Use of Non-GAAP Financial Measures” included in this announcement for further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of 2026 marked a defining milestone as Hesai has evolved into a full-stack infrastructure platform for Robotics and Physical AI — empowering them to see, understand, and act,” said Dr. Yifan “David” Li, Hesai’s Co-Founder and CEO. “We enable Robotics and Physical AI to see: lidar — our powerful and durable cash engine — is evolving from a ‘must-have’ toward ‘better and more’ in vehicles, the world’s most widely deployed robots. At the same time, demand for the same high-performance, robust, and reliable 3D sensing is rapidly expanding to humanoids and other intelligent machines, driving new orders from Unitree, Robbyant, Galbot, Galaxea, Dexmal, and others. Picasso, our full-color, ultra-sensitive 6D SPAD-SoC, on the other hand, represents a major leap forward in perception technology by enabling a unified 3D understanding of depth, semantics, and how environments evolve over time — delivering true multimodality, which is indispensable for world models and physical 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Li continued, “We enable them to understand: Kosmo, our spatial intelligence platform, transforms the physical world into AI-ready, reusable 3D spatial assets. That gives robots one of the scarcest and most valuable inputs: geometrically accurate, physically grounded digital representations of the physical world, helping bridge the sim-to-real gap and unlock robotics scaling laws. After prototype deliveries in July 2026, we secured orders from a lineup of leading humanoid robotics companies, including Galbot, with initial revenues expected in the third quarter of 2026 as part of Strategic Growth Initiatives (“SGI”). And we enable them to act: high-performance joints represent another of robotics’ toughest bottlenecks. Leveraging our deep precision engineering expertise, we re-engineered actuation modules from first principles to deliver precise control, compact size, high force output, and true backdrivability in one design. Our proprietary modules are already showing commercial traction: modules began generating revenues in the second quarter, and Hesai is now supplying robotic actuation modules to Sharpa, a global frontrunner in AI robotics. Our production line is fully operational, with shipments underway for dexterous hands and full-body joints ramping soon. By empowering them to see, understand and act in a closed loop, Hesai is entering an exciting new chapter of growth — building the foundational infrastructure for a future shaped by Robotics and Physical 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Hesai’s performance in the first half of 2026 provides strong validation of our next chapter of growth. Our core lidar business continued to deliver profitable scale and strong cash generation, while SGI began translating technological leadership into commercial momentum,” said Mr. Andrew Fan, Hesai’s CFO. “Net revenues reached RMB1,541 million (US$227 million) for the six months ended June 30, 2026, representing an increase of 25% year-over-year, with ADAS and Robotics lidar shipments growing 87% and 165% year-over-year, respectively. Net income reached RMB89 million (US$13 million) for the six months ended June 30, 2026, up 235% year-over-year despite continued investments in building SGI. The second quarter of 2026 marked our fifth consecutive quarter of GAAP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Fan continued, “The first half of 2026 also marked SGI’s first revenue contribution, led by strong early commercial traction for our industry-leading robotic actuation modules. Driven by stronger-than-expected commercialization momentum and market demand across SGI, including Kosmo on track to begin contributing revenues in the third quarter of 2026, we are raising our full-year 2026 SGI revenue guidance from RMB100 million to a range of RMB200-300 million. We are particularly encouraged by SGI’s growth trajectory and expect the business to reach approximately US$100 million in revenues and achieve breakeven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125"/>
        <w:gridCol w:w="2045"/>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045" w:type="dxa"/>
            <w:tcBorders/>
            <w:vAlign w:val="center"/>
          </w:tcPr>
          <w:p>
            <w:pPr>
              <w:pStyle w:val="TableContents"/>
              <w:bidi w:val="0"/>
              <w:spacing w:before="0" w:after="283"/>
              <w:jc w:val="both"/>
              <w:rPr>
                <w:b/>
                <w:i/>
                <w:sz w:val="20"/>
              </w:rPr>
            </w:pPr>
            <w:r>
              <w:rPr>
                <w:b/>
                <w:i/>
                <w:sz w:val="20"/>
              </w:rPr>
              <w:t>Lidar Business Updates: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Expanded JT128 adoption through collaborations with more than 50 embodied AI companies worldwide, including Unitree, Robbyant, Galbot, Galaxea, and Dexmal, reinforcing our leadership in robotics lidar. According to GGII, Hesai ranked No.1 in the lidar market for humanoid &amp; quadruped robots in China.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Captured a 44% share of China’s long-range ADAS lidar market in June 2026, twice that of the second player, maintaining the No.1 position for the 17th consecutive month, according to Gasgoo.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Great Wall Motor</w:t>
            </w:r>
            <w:r>
              <w:rPr>
                <w:rFonts w:ascii="Times New Roman;Times;Serif" w:hAnsi="Times New Roman;Times;Serif"/>
                <w:sz w:val="20"/>
              </w:rPr>
              <w:t xml:space="preserve">: Secured a new design win for Hesai’s high-end ultra-long-range ETX lidar, with start of production (“SOP”) expected in late 2026.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Li Auto</w:t>
            </w:r>
            <w:r>
              <w:rPr>
                <w:rFonts w:ascii="Times New Roman;Times;Serif" w:hAnsi="Times New Roman;Times;Serif"/>
                <w:sz w:val="20"/>
              </w:rPr>
              <w:t xml:space="preserve">: Expanded multi-lidar adoption from the flagship L9 and L8 to the RMB250,000-class L6, supporting configurations of up to four Hesai lidars and accelerating the mainstream adoption of multi-lidar architectures.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Wingdings" w:hAnsi="Wingdings"/>
                <w:sz w:val="20"/>
              </w:rPr>
            </w:pPr>
            <w:r>
              <w:rPr>
                <w:rFonts w:ascii="Wingdings" w:hAnsi="Wingdings"/>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GAC Toyota</w:t>
            </w:r>
            <w:r>
              <w:rPr>
                <w:rFonts w:ascii="Times New Roman;Times;Serif" w:hAnsi="Times New Roman;Times;Serif"/>
                <w:sz w:val="20"/>
              </w:rPr>
              <w:t xml:space="preserve">: Following the bZ3X model, secured another design win for the bZ7 model, further expanding partnerships with Japanese automotive brands. </w:t>
            </w:r>
          </w:p>
        </w:tc>
      </w:tr>
    </w:tbl>
    <w:p>
      <w:pPr>
        <w:pStyle w:val="TextBody"/>
        <w:bidi w:val="0"/>
        <w:spacing w:before="0" w:after="0"/>
        <w:ind w:left="0" w:right="0" w:hanging="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25"/>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9605" w:type="dxa"/>
            <w:tcBorders/>
            <w:vAlign w:val="center"/>
          </w:tcPr>
          <w:p>
            <w:pPr>
              <w:pStyle w:val="TableContents"/>
              <w:bidi w:val="0"/>
              <w:spacing w:before="0" w:after="283"/>
              <w:jc w:val="both"/>
              <w:rPr>
                <w:sz w:val="20"/>
              </w:rPr>
            </w:pPr>
            <w:r>
              <w:rPr>
                <w:sz w:val="20"/>
              </w:rPr>
              <w:t>Secured a major global design win with Volkswagen, covering multiple vehicle models under its China joint ventures.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Successfully transitioned “Picasso”, the full-color, ultra-sensitive 6D SPAD-SoC, from technology development into product integration, with the SoC now SOP-ready. The high-end, ultra-long-range Picasso-equipped ETX is undergoing customer validation and progressing into Request for Information (“RFI”) and Request for Quotation (“RFQ”) discussions with leading robotaxi operators and global automakers.</w:t>
            </w:r>
          </w:p>
        </w:tc>
      </w:tr>
    </w:tbl>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25"/>
        <w:gridCol w:w="3635"/>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635" w:type="dxa"/>
            <w:tcBorders/>
            <w:vAlign w:val="center"/>
          </w:tcPr>
          <w:p>
            <w:pPr>
              <w:pStyle w:val="TableContents"/>
              <w:bidi w:val="0"/>
              <w:spacing w:before="0" w:after="283"/>
              <w:jc w:val="both"/>
              <w:rPr>
                <w:b/>
                <w:i/>
                <w:sz w:val="20"/>
              </w:rPr>
            </w:pPr>
            <w:r>
              <w:rPr>
                <w:b/>
                <w:i/>
                <w:sz w:val="20"/>
              </w:rPr>
              <w:t xml:space="preserve">Strategic Growth Initiatives (SGI) Updates: </w:t>
            </w:r>
          </w:p>
        </w:tc>
      </w:tr>
    </w:tbl>
    <w:p>
      <w:pPr>
        <w:pStyle w:val="TextBody"/>
        <w:bidi w:val="0"/>
        <w:spacing w:before="0" w:after="0"/>
        <w:ind w:left="0" w:right="0" w:hanging="0"/>
        <w:jc w:val="left"/>
        <w:rPr>
          <w:caps w:val="false"/>
          <w:smallCaps w:val="false"/>
        </w:rPr>
      </w:pPr>
      <w:r>
        <w:rPr>
          <w:caps w:val="false"/>
          <w:smallCaps w:val="false"/>
        </w:rPr>
        <w:t> </w:t>
      </w:r>
    </w:p>
    <w:tbl>
      <w:tblPr>
        <w:tblW w:w="888" w:type="dxa"/>
        <w:jc w:val="left"/>
        <w:tblInd w:w="0" w:type="dxa"/>
        <w:tblLayout w:type="fixed"/>
        <w:tblCellMar>
          <w:top w:w="0" w:type="dxa"/>
          <w:left w:w="0" w:type="dxa"/>
          <w:bottom w:w="0" w:type="dxa"/>
          <w:right w:w="0" w:type="dxa"/>
        </w:tblCellMar>
      </w:tblPr>
      <w:tblGrid>
        <w:gridCol w:w="38"/>
        <w:gridCol w:w="215"/>
        <w:gridCol w:w="63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Wingdings" w:hAnsi="Wingdings"/>
                <w:b/>
                <w:sz w:val="20"/>
              </w:rPr>
            </w:pPr>
            <w:r>
              <w:rPr>
                <w:rFonts w:ascii="Wingdings" w:hAnsi="Wingdings"/>
                <w:b/>
                <w:sz w:val="20"/>
              </w:rPr>
              <w:t>u</w:t>
            </w:r>
          </w:p>
        </w:tc>
        <w:tc>
          <w:tcPr>
            <w:tcW w:w="6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Kosmo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Kosmo is a spatial intelligence platform integrating an AI spatial camera, AI algorithms, 3D spatial assets, and cloud services into one unified system. By transforming real-world environments into high-fidelity 3D assets that are editable and interactive, Kosmo provides the foundation for next-generation spatial AI applications across robotics, cultural tourism, film &amp; TV production, game development, advertising, and beyond.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For robotics, Kosmo’s continuously expanding 3D spatial asset library helps bridge the sim-to-real gap, supports robotics scaling laws, and creates a flywheel of hardware adoption, recurring cloud service revenues, and increasing platform value.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Delivered initial prototypes in July 2026 and secured orders from a lineup of leading humanoid robotics companies, including Galbot. Engagement with more than 200 prospective partners across industries validates Kosmo’s technology leadership and broad market demand, with initial revenues expected in the third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38"/>
        <w:gridCol w:w="215"/>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Wingdings" w:hAnsi="Wingdings"/>
                <w:b/>
                <w:sz w:val="20"/>
              </w:rPr>
            </w:pPr>
            <w:r>
              <w:rPr>
                <w:rFonts w:ascii="Wingdings" w:hAnsi="Wingdings"/>
                <w:b/>
                <w:sz w:val="20"/>
              </w:rPr>
              <w:t>u</w:t>
            </w:r>
          </w:p>
        </w:tc>
        <w:tc>
          <w:tcPr>
            <w:tcW w:w="23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Robotic Actuation Modules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Re-engineered from first principles across materials science, structural design, and system integration, Hesai’s proprietary robotic actuation modules deliver a unique combination of precise control, compact size, high force output, and true backdrivability. Compared with leading products currently available, they achieve approximately three times both the torque density and the power density in a 37% smaller package, with transmission efficiency above 95%.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Supplying robotic actuation modules to Sharpa, a global frontrunner in AI robotics; Sharpa aims to achieve real-world commercial validation of AI robotics through the world’s first “zero-retrofit” deployment at a Dairy Queen store in Shanghai in August 2026, with its robots autonomously performing Dairy Queen’s signature Blizzard ice-cream workflow — a complex long-horizon task — while demonstrating the potential to generalize across diverse real-world tasks.</w:t>
            </w:r>
            <w:r>
              <w:rPr>
                <w:position w:val="7"/>
                <w:sz w:val="16"/>
                <w:sz w:val="20"/>
              </w:rPr>
              <w:t>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both"/>
              <w:rPr>
                <w:sz w:val="20"/>
              </w:rPr>
            </w:pPr>
            <w:r>
              <w:rPr>
                <w:sz w:val="20"/>
              </w:rPr>
              <w:t>Dedicated robotic actuation module production line is fully operational, delivering over 10,000 units by the end of the second quarter, and expanding from dexterous hands to full-body applications, with robotic actuation module shipments expected to reach six-digit level in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of 2026, the Company expects net revenues to be between RMB1,100 million (US$162 million) and RMB1,150 million (US$169 million), representing a year-over-year increase of approximately 38% to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outlook is based on current market conditions and reflects the Company’s preliminary estimates of market and operating conditions and customer demand, which are all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position w:val="7"/>
                <w:sz w:val="16"/>
                <w:sz w:val="20"/>
              </w:rPr>
              <w:t>3</w:t>
            </w:r>
            <w:r>
              <w:rPr>
                <w:sz w:val="20"/>
              </w:rPr>
              <w:t> </w:t>
            </w:r>
          </w:p>
        </w:tc>
        <w:tc>
          <w:tcPr>
            <w:tcW w:w="10035" w:type="dxa"/>
            <w:tcBorders/>
            <w:vAlign w:val="center"/>
          </w:tcPr>
          <w:p>
            <w:pPr>
              <w:pStyle w:val="TableContents"/>
              <w:bidi w:val="0"/>
              <w:spacing w:before="0" w:after="283"/>
              <w:jc w:val="both"/>
              <w:rPr/>
            </w:pPr>
            <w:r>
              <w:rPr/>
              <w:t>“</w:t>
            </w:r>
            <w:r>
              <w:rPr>
                <w:sz w:val="20"/>
              </w:rPr>
              <w:t>World’s first” means that, by August 2026, based on the parties’ records and a search of reasonably available public information, no earlier publicly launched commercial pilot has been identified in which a general-purpose humanoid robot independently completes a specified ice cream-making process in a real brand store and operates it for consumers. Public commercial pilots do not include laboratory tests, internal validation, or projects that are unpublished or cannot be verified. “Zero retrofitting” and “fully autonomous” refer only to the specified making process under certain predefined conditions; restocking, cleaning, maintenance, safety supervision, and exception handling still require human involvement.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57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FINANCIAL RESULTS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revenues </w:t>
      </w:r>
      <w:r>
        <w:rPr>
          <w:rFonts w:ascii="Times New Roman;Times;Serif" w:hAnsi="Times New Roman;Times;Serif"/>
          <w:b w:val="false"/>
          <w:i w:val="false"/>
          <w:caps w:val="false"/>
          <w:smallCaps w:val="false"/>
          <w:sz w:val="20"/>
        </w:rPr>
        <w:t>were RMB1,541.4 million (US$227.2 million) for the six months ended June 30, 2026, representing an increase of 25.1% from RMB1,231.7 million for the six months ended June 30, 2025. Product revenues were RMB1,539.3 million (US$226.9 million) for the six months ended June 30, 2026, representing an increase of 27.2% from RMB1,210.1 million for the six months ended June 30, 2025, primarily due to increased deliveries of both ADAS and Robotics lidar products driven by robust demand, both in China and globally, partially offset by a decrease in average selling prices. Service revenues were RMB2.0 million (US$0.3 million) for the six months ended June 30, 2026, representing a decrease of 90.3% from RMB21.6 million for the six months ended June 30, 2025. The year-over-year decrease was mainly driven by lower revenues from non-recurring engineering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Cost of revenues </w:t>
      </w:r>
      <w:r>
        <w:rPr>
          <w:rFonts w:ascii="Times New Roman;Times;Serif" w:hAnsi="Times New Roman;Times;Serif"/>
          <w:b w:val="false"/>
          <w:i w:val="false"/>
          <w:caps w:val="false"/>
          <w:smallCaps w:val="false"/>
          <w:sz w:val="20"/>
        </w:rPr>
        <w:t>was RMB930.1 million (US$137.1 million) for the six months ended June 30, 2026, representing an increase of 30.6% from RMB712.0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Gross margin </w:t>
      </w:r>
      <w:r>
        <w:rPr>
          <w:rFonts w:ascii="Times New Roman;Times;Serif" w:hAnsi="Times New Roman;Times;Serif"/>
          <w:b w:val="false"/>
          <w:i w:val="false"/>
          <w:caps w:val="false"/>
          <w:smallCaps w:val="false"/>
          <w:sz w:val="20"/>
        </w:rPr>
        <w:t>was 39.7% for the six months ended June 30, 2026, compared with 42.2% for the six months ended June 30, 2025, primarily due to a higher revenue contribution from products with relatively lower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Sales and marketing expenses </w:t>
      </w:r>
      <w:r>
        <w:rPr>
          <w:rFonts w:ascii="Times New Roman;Times;Serif" w:hAnsi="Times New Roman;Times;Serif"/>
          <w:b w:val="false"/>
          <w:i w:val="false"/>
          <w:caps w:val="false"/>
          <w:smallCaps w:val="false"/>
          <w:sz w:val="20"/>
        </w:rPr>
        <w:t>were RMB91.1 million (US$13.4 million) for the six months ended June 30, 2026, representing a decrease of 1.9% from RMB92.9 million for the six months ended June 30, 2025, primarily due to a decrease in payroll expenses of RMB4.0 million (US$0.6 million), partially offset by an increase in marketing expenses of RMB2.2 million (US$0.3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General and administrative expenses </w:t>
      </w:r>
      <w:r>
        <w:rPr>
          <w:rFonts w:ascii="Times New Roman;Times;Serif" w:hAnsi="Times New Roman;Times;Serif"/>
          <w:b w:val="false"/>
          <w:i w:val="false"/>
          <w:caps w:val="false"/>
          <w:smallCaps w:val="false"/>
          <w:sz w:val="20"/>
        </w:rPr>
        <w:t>were RMB119.7 million (US$17.6 million) for the six months ended June 30, 2026, representing an increase of 1.6% from RMB117.8 million for the six months ended June 30, 2025, primarily due to an increase in payroll expenses of RMB3.2 million (US$0.5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Research and development expenses </w:t>
      </w:r>
      <w:r>
        <w:rPr>
          <w:rFonts w:ascii="Times New Roman;Times;Serif" w:hAnsi="Times New Roman;Times;Serif"/>
          <w:b w:val="false"/>
          <w:i w:val="false"/>
          <w:caps w:val="false"/>
          <w:smallCaps w:val="false"/>
          <w:sz w:val="20"/>
        </w:rPr>
        <w:t>were RMB435.8 million (US$64.2 million) for the six months ended June 30, 2026, representing an increase of 13.9% from RMB382.5 million for the six months ended June 30, 2025, reflecting our incremental investment in SGI.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Loss from operations </w:t>
      </w:r>
      <w:r>
        <w:rPr>
          <w:rFonts w:ascii="Times New Roman;Times;Serif" w:hAnsi="Times New Roman;Times;Serif"/>
          <w:b w:val="false"/>
          <w:i w:val="false"/>
          <w:caps w:val="false"/>
          <w:smallCaps w:val="false"/>
          <w:sz w:val="20"/>
        </w:rPr>
        <w:t>was RMB6.4 million (US$0.9 million) for the six months ended June 30, 2026, compared with loss from operations of RMB10.6 million for the six months ended June 30, 2025. Excluding share-based compensation expenses, non-GAAP income from operations was RMB53.8 million (US$7.9 million) for the six months ended June 30, 2026, compared with non-GAAP income from operations of RMB44.8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income </w:t>
      </w:r>
      <w:r>
        <w:rPr>
          <w:rFonts w:ascii="Times New Roman;Times;Serif" w:hAnsi="Times New Roman;Times;Serif"/>
          <w:b w:val="false"/>
          <w:i w:val="false"/>
          <w:caps w:val="false"/>
          <w:smallCaps w:val="false"/>
          <w:sz w:val="20"/>
        </w:rPr>
        <w:t>was RMB88.9 million (US$13.1 million) for the six months ended June 30, 2026, compared with net income of RMB26.5 million for the six months ended June 30, 2025. Excluding share-based compensation expenses, non-GAAP net income was RMB149.1 million (US$22.0 million) for the six months ended June 30, 2026, representing an increase of 82.1% from RMB81.9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income attributable to ordinary shareholders of the Company </w:t>
      </w:r>
      <w:r>
        <w:rPr>
          <w:rFonts w:ascii="Times New Roman;Times;Serif" w:hAnsi="Times New Roman;Times;Serif"/>
          <w:b w:val="false"/>
          <w:i w:val="false"/>
          <w:caps w:val="false"/>
          <w:smallCaps w:val="false"/>
          <w:sz w:val="20"/>
        </w:rPr>
        <w:t>was RMB88.9 million (US$13.1 million) for the six months ended June 30, 2026, compared with net income attributable to ordinary shareholders of the Company of RMB26.5 million for the six months ended June 30, 2025. Excluding share-based compensation expenses, non-GAAP net income attributable to ordinary shareholders of the Company was RMB149.1 million (US$22.0 million) for the six months ended June 30, 2026, representing an increase of 82.1% from RMB81.9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Basic and diluted net income per ordinary share </w:t>
      </w:r>
      <w:r>
        <w:rPr>
          <w:rFonts w:ascii="Times New Roman;Times;Serif" w:hAnsi="Times New Roman;Times;Serif"/>
          <w:b w:val="false"/>
          <w:i w:val="false"/>
          <w:caps w:val="false"/>
          <w:smallCaps w:val="false"/>
          <w:sz w:val="20"/>
        </w:rPr>
        <w:t>were RMB0.07 (US$0.01) and RMB0.07 (US$0.01), respectively, for the six months ended June 30, 2026. Excluding share-based compensation expenses, non-GAAP basic and diluted net income per ordinary share were RMB0.12 (US$0.02) and RMB0.11 (US$0.02), respectively,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reserve</w:t>
      </w:r>
      <w:r>
        <w:rPr>
          <w:rFonts w:ascii="Times New Roman;Times;Serif" w:hAnsi="Times New Roman;Times;Serif"/>
          <w:b/>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was RMB7,050.6 million (US$1,039.1 million) as of June 30, 2026, compared with RMB7,511.0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reserve of RMB7,050.6 million as of June 30, 2026, compared to RMB7,511.0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RMB102.6 million for the six months ended June 30, 2026, compared with net cash used in operating activities of RMB265.4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investments with value of 5% or more of our total assets are considered as significant investments. We did not make or hold any significant investments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Acquisitions and Disposals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have any material acquisitions or disposals of subsidiaries, consolidated affiliated subsidiaries, associated companies or joint ventures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Pledge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land-use rights and constructions with a total book value of RMB360.6 million were pledged to secure banking facilities for current portion of long-term borrowing of RMB89.5 million and long-term borrowing of RMB74.6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rFonts w:ascii="Times New Roman;Times;Serif" w:hAnsi="Times New Roman;Times;Serif"/>
                <w:position w:val="7"/>
                <w:sz w:val="16"/>
                <w:sz w:val="20"/>
              </w:rPr>
              <w:t>4</w:t>
            </w:r>
            <w:r>
              <w:rPr>
                <w:sz w:val="20"/>
              </w:rPr>
              <w:t> </w:t>
            </w:r>
          </w:p>
        </w:tc>
        <w:tc>
          <w:tcPr>
            <w:tcW w:w="10035" w:type="dxa"/>
            <w:tcBorders/>
            <w:vAlign w:val="center"/>
          </w:tcPr>
          <w:p>
            <w:pPr>
              <w:pStyle w:val="TableContents"/>
              <w:bidi w:val="0"/>
              <w:spacing w:before="0" w:after="283"/>
              <w:jc w:val="left"/>
              <w:rPr>
                <w:sz w:val="20"/>
              </w:rPr>
            </w:pPr>
            <w:r>
              <w:rPr>
                <w:rFonts w:ascii="Times New Roman;Times;Serif" w:hAnsi="Times New Roman;Times;Serif"/>
                <w:sz w:val="20"/>
              </w:rPr>
              <w:t>Cash reserve represents cash and cash equivalents, restricted cash, short-term investments (exclude stock</w:t>
            </w:r>
            <w:r>
              <w:rPr>
                <w:sz w:val="20"/>
              </w:rPr>
              <w:t xml:space="preserve"> </w:t>
            </w:r>
            <w:r>
              <w:rPr>
                <w:rFonts w:ascii="Times New Roman;Times;Serif" w:hAnsi="Times New Roman;Times;Serif"/>
                <w:sz w:val="20"/>
              </w:rPr>
              <w:t>investment) and long-term time deposits.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Plans for Material Investments or Capital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have detailed future plans for material investments or capital assets as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Gearing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Company’s gearing ratio (i.e., total liabilities divided by total assets, in percentage) was 18.7% (as at December 31, 2025: 20.4%).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Exchange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expenditures are mainly denominated in Renminbi and, therefore, we are primarily exposed to risks related to movements between Renminbi and U.S. dollars. Our exposure to U.S. dollars exchange rate fluctuation arises from the Renminbi-denominated cash and cash equivalents, restricted cash, short-term investments and long-term financial instruments held by us and our subsidiaries whose functional currency is U.S. dollars, and the U.S. dollar-denominated cash and cash equivalents, restricted cash, time deposits and short-term investments and long-term financial instruments held by our subsidiaries whose functional currency is Renminbi.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need to convert U.S. dollars into Renminbi for our operations, appreciation of Renminbi against U.S. dollars would have an adverse effect on the Renminbi amount we receive from the conversion. Conversely, if we decide to convert Renminbi into U.S. dollars for the purpose of making payments to suppliers or for dividends on the class B ordinary shares of the Company (the “</w:t>
      </w:r>
      <w:r>
        <w:rPr>
          <w:rFonts w:ascii="Times New Roman;Times;Serif" w:hAnsi="Times New Roman;Times;Serif"/>
          <w:b/>
          <w:i w:val="false"/>
          <w:caps w:val="false"/>
          <w:smallCaps w:val="false"/>
          <w:sz w:val="20"/>
        </w:rPr>
        <w:t>Class B Ordinary Shares</w:t>
      </w:r>
      <w:r>
        <w:rPr>
          <w:rFonts w:ascii="Times New Roman;Times;Serif" w:hAnsi="Times New Roman;Times;Serif"/>
          <w:b w:val="false"/>
          <w:i w:val="false"/>
          <w:caps w:val="false"/>
          <w:smallCaps w:val="false"/>
          <w:sz w:val="20"/>
        </w:rPr>
        <w:t>”) or American depositary shares of the Company (the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or for other business purposes, appreciation of U.S. dollars against Renminbi would have a negative effect on the U.S. dollar amounts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interest rate risk primarily relates to the interest income generated by excess cash, which is mostly held in interest-bearing bank deposits and wealth management products and interest expenses generated by short-term and long-term borrowing. Interest-earning instruments carry a degree of interest rate risk. We have not been exposed to material risks due to changes in market interest rates, and we have not used any derivative financial instruments to manage our interest risk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invest the net proceeds that we receive from our overseas offerings in interest-earning instruments. Investments in both fixed-rate and floating rate interest-earning instruments carry a degree of interest rate risk. Fixed-rate securities may have their fair market value adversely impacted due to a rise in interest rates, while floating-rate securities may produce less income than expected if interest rates fall.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no material contingent liabilities as at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capital commitment of the Company was RMB34.2 million, all of which was contractually payable within the remaining of 2026, compared with RMB38.4 million as at December 31, 2025, primarily attributable to commitments of manufacturing facilities and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Remuneration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Company had a total of 1,249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the PRC laws and regulations, we participate in various employee social security schemes organized by municipal and provincial governments, including pension, maternity insurance, unemployment insurance, work-related injury insurance, medical insurance and housing provident fund. We are required under PRC laws and regulations to make contributions to employee social security schemes at specified percentages of the salaries, bonuses and certain allowances of our employees, up to a maximum amount specified by the local government from time to time. We also purchase commercial health and accidental insurance for our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Bonuses are generally discretionary and based in part on employee performance and in part on the overall performance of the Group’s business. The Company has granted and plans to continue to grant share-based incentive awards to its employees in the future to incentivize their contributions to its growth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provide training programs to our employees of different departments. Such training programs include technical and engineering trainings as well as general career development. To attract top talents and cultivate a culture of collaboration, we also invested in mentorship programs that are open to employees of all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total number of employees by function as of June 30, 2026:</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375"/>
        <w:gridCol w:w="60"/>
        <w:gridCol w:w="104"/>
        <w:gridCol w:w="846"/>
        <w:gridCol w:w="75"/>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and supply chain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Corporate Governance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maintaining a high standard of corporate governance. During the Reporting Period, the Company has complied with all of the applicable code provisions of the Corporate Governance Code (the “</w:t>
      </w:r>
      <w:r>
        <w:rPr>
          <w:rFonts w:ascii="Times New Roman;Times;Serif" w:hAnsi="Times New Roman;Times;Serif"/>
          <w:b/>
          <w:i w:val="false"/>
          <w:caps w:val="false"/>
          <w:smallCaps w:val="false"/>
          <w:sz w:val="20"/>
        </w:rPr>
        <w:t>Corporate Governance Code</w:t>
      </w:r>
      <w:r>
        <w:rPr>
          <w:rFonts w:ascii="Times New Roman;Times;Serif" w:hAnsi="Times New Roman;Times;Serif"/>
          <w:b w:val="false"/>
          <w:i w:val="false"/>
          <w:caps w:val="false"/>
          <w:smallCaps w:val="false"/>
          <w:sz w:val="20"/>
        </w:rPr>
        <w:t>”) set forth in Appendix C1 to the Rules Governing the Listing of Securities on The Stock Exchange of Hong Kong Limited (the “</w:t>
      </w:r>
      <w:r>
        <w:rPr>
          <w:rFonts w:ascii="Times New Roman;Times;Serif" w:hAnsi="Times New Roman;Times;Serif"/>
          <w:b/>
          <w:i w:val="false"/>
          <w:caps w:val="false"/>
          <w:smallCaps w:val="false"/>
          <w:sz w:val="20"/>
        </w:rPr>
        <w:t>Listing Rules</w:t>
      </w:r>
      <w:r>
        <w:rPr>
          <w:rFonts w:ascii="Times New Roman;Times;Serif" w:hAnsi="Times New Roman;Times;Serif"/>
          <w:b w:val="false"/>
          <w:i w:val="false"/>
          <w:caps w:val="false"/>
          <w:smallCaps w:val="false"/>
          <w:sz w:val="20"/>
        </w:rPr>
        <w:t>”), save for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Code Provision C.2.1 of the Corporate Governance Code, companies listed on The Stock Exchange of Hong Kong Limited (the “</w:t>
      </w:r>
      <w:r>
        <w:rPr>
          <w:rFonts w:ascii="Times New Roman;Times;Serif" w:hAnsi="Times New Roman;Times;Serif"/>
          <w:b/>
          <w:i w:val="false"/>
          <w:caps w:val="false"/>
          <w:smallCaps w:val="false"/>
          <w:sz w:val="20"/>
        </w:rPr>
        <w:t>Hong Kong Stock Exchange</w:t>
      </w:r>
      <w:r>
        <w:rPr>
          <w:rFonts w:ascii="Times New Roman;Times;Serif" w:hAnsi="Times New Roman;Times;Serif"/>
          <w:b w:val="false"/>
          <w:i w:val="false"/>
          <w:caps w:val="false"/>
          <w:smallCaps w:val="false"/>
          <w:sz w:val="20"/>
        </w:rPr>
        <w:t>”) are expected to comply with, but may choose to deviate from the requirement that the responsibilities between the chairperson and the chief executive officer should be segregated and should not be performed by the same individual. We do not have a separate chairman of the Board and chief executive officer and Dr. Yifan Li (“</w:t>
      </w:r>
      <w:r>
        <w:rPr>
          <w:rFonts w:ascii="Times New Roman;Times;Serif" w:hAnsi="Times New Roman;Times;Serif"/>
          <w:b/>
          <w:i w:val="false"/>
          <w:caps w:val="false"/>
          <w:smallCaps w:val="false"/>
          <w:sz w:val="20"/>
        </w:rPr>
        <w:t>Dr. Li</w:t>
      </w:r>
      <w:r>
        <w:rPr>
          <w:rFonts w:ascii="Times New Roman;Times;Serif" w:hAnsi="Times New Roman;Times;Serif"/>
          <w:b w:val="false"/>
          <w:i w:val="false"/>
          <w:caps w:val="false"/>
          <w:smallCaps w:val="false"/>
          <w:sz w:val="20"/>
        </w:rPr>
        <w:t>”) currently performs these two roles. The Board believes that, in view of Dr. Li’s experience, personal profile and his roles in our Company, Dr. Li is the Director best suited to identify strategic opportunities and focus on the Board due to his extensive understanding of our business as our chief executive officer. The Board also believes that the combined roles of both chairperson and chief executive officer has the benefit of ensuring consistent leadership within the Group and can promote the effective execution of strategic initiatives and facilitate the flow of information between management and the Board. The Board will continue to review and consider splitting the roles of chairman of the Board and the chief executive officer of the Company if and when it is appropriate taking into account the circumstances of the Group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considers that the balance of power and authority will not be impaired due to this arrangement. In addition, all major decisions are made in consultation with members of the Board, including the relevant Board committees, and the independent non-executive Directors. The Board will reassess the division of the roles of chairperson and the chief executive officer from time to time, and may recommend dividing the two roles between different people in the future, taking into account the circumstances of the Group as a whole. The Company will continue to regularly review and monitor its corporate governance practices to ensure compliance with the Corporate Governance Code, and maintain a high standard of corporate governance practices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the Code for Securities Transactions by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code of conduct regarding directors’ securities transactions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on terms no less exacting than the Model Code for Securities Transactions by Directors of Listed Issuers (the “</w:t>
      </w:r>
      <w:r>
        <w:rPr>
          <w:rFonts w:ascii="Times New Roman;Times;Serif" w:hAnsi="Times New Roman;Times;Serif"/>
          <w:b/>
          <w:i w:val="false"/>
          <w:caps w:val="false"/>
          <w:smallCaps w:val="false"/>
          <w:sz w:val="20"/>
        </w:rPr>
        <w:t>Model Code</w:t>
      </w:r>
      <w:r>
        <w:rPr>
          <w:rFonts w:ascii="Times New Roman;Times;Serif" w:hAnsi="Times New Roman;Times;Serif"/>
          <w:b w:val="false"/>
          <w:i w:val="false"/>
          <w:caps w:val="false"/>
          <w:smallCaps w:val="false"/>
          <w:sz w:val="20"/>
        </w:rPr>
        <w:t>”) as set out in Appendix C3 to the Listing Rules, as its own securities dealing code to regulate all dealings by Directors and relevant employees of securities in the Company and other matters covered by the Model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enquiry has been made of all the Directors and relevant employees, and they have confirmed that they have complied with the Model Code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Review of Unaudited Interim Condensed Consolidated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has reviewed the unaudited interim results of the Company for the six months ended June 30, 2026 and has met with the independent auditors of the Company, Messrs. Deloitte Touche Tohmatsu.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independent auditor of the Company, Messrs. Deloitte Touche Tohmatsu, has reviewed our unaudited interim financial information for the six months ended June 30, 2026 in accordance with Hong Kong Standard on Review Engagements 2410 “Review of Interim Financial Information Performed by the Independent Auditor of the Entity.”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Sale or Redemption of the Company’s Listed Securities or Sale of Treasury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any of its subsidiaries purchased, sold or redeemed any of the Company’s securities listed on the Hong Kong Stock Exchange and Nasdaq or sold any treasury shares (as defined under the Listing Rules) during the Reporting Period. As at June 30, 2026, the Company did not hold any treasury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Net Proceeds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Hesai successfully listed its Class B Ordinary Shares on the Main Board of the Hong Kong Stock Exchange (the “</w:t>
      </w: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 The Company issued a total of 19,550,000 Class B Ordinary Shares in the global offering. On September 19, 2025, 2,932,500 Class B Ordinary Shares were issued pursuant to full exercise of the over-allotment option as disclosed in the announcement of the Company dated September 16,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the global offering, after deducting underwriting discounts and commissions, including the over-allotment option, were approximately HK$4,654.1 million, which will be used in accordance with the use of proceeds as disclosed in the prospectus of the Company published on the website of the Hong Kong Stock Exchange on September 8, 2025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announcement, there was no change in the intended use of net proceeds as previously disclosed in the section headed “Future Plans and Use of Proceeds” in the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Litigation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the Court appointed lead plaintiff. On November 13, 2025, lead plaintiff filed an amended complaint. On December 29, 2025, the Defendants filed a motion to dismiss the amended complaint, and briefing on the motion to dismiss was completed on January 27, 2026. On February 18, 2026, the Court denied in part and granted in part the motion to dismiss. This is a procedural ruling at the pleading stage and does not constitute a final resolution of the litigation.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DoD Litigation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2025, the Group filed Notice of Appeal to the U.S. Court of Appeals, challenging the District Court’s decision. On March 19, 2026, the D.C. Circuit held oral argument in the Group’s appeal in Washington, D.C. As of the date of this announcement, the Group remains on the Section 1260H List and is unable to predict the outcome of the appeal.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certain legal proceedings are still ongoing, the Directors will monitor these legal proceedings closely and the Company will continue to keep the shareholders of the Company and potential investors informed of any further material development as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above, the Company was not involved in any other material litigation or arbitration during the six months ended June 30, 2026, and the Directors are not aware of any material litigations or claims that are pending or threatened against the Group during the Reporting Period and up to the date of this announcement which could have a material and adverse effect on our financial condition or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Events after the Reporting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Subdivision and Change in Board Lot Size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the Board announced its proposal to implement the share subdivision on the basis that every existing Ordinary Share of the Company with a par value of US$0.0001 each be subdivided into eight (8) subdivided Ordinary Shares of the Company with a par value of US$0.0000125 each (the “</w:t>
      </w:r>
      <w:r>
        <w:rPr>
          <w:rFonts w:ascii="Times New Roman;Times;Serif" w:hAnsi="Times New Roman;Times;Serif"/>
          <w:b/>
          <w:i w:val="false"/>
          <w:caps w:val="false"/>
          <w:smallCaps w:val="false"/>
          <w:sz w:val="20"/>
        </w:rPr>
        <w:t>Share Subdivision</w:t>
      </w:r>
      <w:r>
        <w:rPr>
          <w:rFonts w:ascii="Times New Roman;Times;Serif" w:hAnsi="Times New Roman;Times;Serif"/>
          <w:b w:val="false"/>
          <w:i w:val="false"/>
          <w:caps w:val="false"/>
          <w:smallCaps w:val="false"/>
          <w:sz w:val="20"/>
        </w:rPr>
        <w:t>”). The Board also proposed to change the board lot size for trading on the Hong Kong Stock Exchange from 20 existing Class B Ordinary Shares to 100 Subdivided Class B Ordinary Shares conditional upon the Share Subdivision becoming effective (the “</w:t>
      </w:r>
      <w:r>
        <w:rPr>
          <w:rFonts w:ascii="Times New Roman;Times;Serif" w:hAnsi="Times New Roman;Times;Serif"/>
          <w:b/>
          <w:i w:val="false"/>
          <w:caps w:val="false"/>
          <w:smallCaps w:val="false"/>
          <w:sz w:val="20"/>
        </w:rPr>
        <w:t>Change in Board Lot Size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resolution in relation to the Share Subdivision was duly passed at the annual general meeting of the Company. As all conditions precedent of the Share Subdivision have been fulfilled, the Share Subdivision and the Change in Board Lot Size became effective on July 10, 2026, and the dealings in Subdivided Class B Ordinary Shares on the Hong Kong Stock Exchange have commenced at 9:00 a.m. on July 10,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of the Share Subdivision and the Change in Board Lot Size, please refer to the announcements of the Company dated May 26, 2026, June 26, 2026 and July 10, 2026, and the circular of the Company dated May 26,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Dividend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did not recommend the distribution of an interim dividend for the six months ended June 30, 2026 (for the six months ended June 30, 2025: nil).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Publication of Interim Results and Interim Report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interim results announcement is published on the website of the Hong Kong Stock Exchange at </w:t>
      </w:r>
      <w:r>
        <w:rPr>
          <w:rFonts w:ascii="Times New Roman;Times;Serif" w:hAnsi="Times New Roman;Times;Serif"/>
          <w:b/>
          <w:i w:val="false"/>
          <w:caps w:val="false"/>
          <w:smallCaps w:val="false"/>
          <w:sz w:val="20"/>
        </w:rPr>
        <w:t>www.hkexnews.hk</w:t>
      </w:r>
      <w:r>
        <w:rPr>
          <w:rFonts w:ascii="Times New Roman;Times;Serif" w:hAnsi="Times New Roman;Times;Serif"/>
          <w:b w:val="false"/>
          <w:i w:val="false"/>
          <w:caps w:val="false"/>
          <w:smallCaps w:val="false"/>
          <w:sz w:val="20"/>
        </w:rPr>
        <w:t xml:space="preserve"> and on the website of the Company at </w:t>
      </w:r>
      <w:r>
        <w:rPr>
          <w:rFonts w:ascii="Times New Roman;Times;Serif" w:hAnsi="Times New Roman;Times;Serif"/>
          <w:b/>
          <w:i w:val="false"/>
          <w:caps w:val="false"/>
          <w:smallCaps w:val="false"/>
          <w:sz w:val="20"/>
          <w:u w:val="single"/>
        </w:rPr>
        <w:t>investor.hesaitech.com</w:t>
      </w:r>
      <w:r>
        <w:rPr>
          <w:rFonts w:ascii="Times New Roman;Times;Serif" w:hAnsi="Times New Roman;Times;Serif"/>
          <w:b w:val="false"/>
          <w:i w:val="false"/>
          <w:caps w:val="false"/>
          <w:smallCaps w:val="false"/>
          <w:sz w:val="20"/>
        </w:rPr>
        <w:t>. The interim report of the Company for the six months ended June 30, 2026 will be dispatched to the shareholders and will be made available on the websites of the Company and the Hong Kong Stock Exchange in due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Hesai’s consolidated financial results presented in accordance with GAAP, Hesai uses the following measures defined as non-GAAP financial measures by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loss from operations excluding share-based compensation expenses, net income excluding share-based compensation expenses, net income attributable to ordinary shareholders excluding share-based compensation, and per ordinary share net income attributable to ordinary shareholders excluding share-based compensation. The presentation of these non-GAAP financial measures is not intended to be considered in isolation or as a substitute for the financial information prepared and presented in accordance with GAAP.</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Hesai believes that these non-GAAP financial measures provide meaningful supplemental information regarding its performance and liquidity by excluding share-based compensation expenses that may not be indicative of its operating performance from a cash perspective. Hesai believes that both management and investors benefit from referring to these non-GAAP financial measures in assessing its performance and when planning and forecasting future periods. These non-GAAP financial measures also facilitate management’s internal comparisons to Hesai’s historical performance and liquidity. Hesai believes these non-GAAP financial measures are useful to investors in allowing for greater transparency with respect to supplemental information used by management in its financial and operational decision making. A limitation of using these non-GAAP financial measures is that they exclude share-based compensation expenses that have been and will continue to be for the foreseeable future a significant recurring expense in our business. Management compensates for these limitations by providing specific information regarding the GAAP amounts excluded from each non-GAAP financial measure. The accompanying tables have more details on the reconciliations between GAAP financial measures that are most directly comparable to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the business outlook and quotations from management in this announcement, as well as the Company’s strategic and operational plans, contain forward-looking statements. The Company may also make written or oral forward-looking statements in its periodic reports to the SEC and the Hong Kong Stock Exchange, in its interim report to shareholders, in press releases and other written materials and in oral statements made by its officers, directors or employees to third parties. Statements that are not historical facts, including but not limited to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expected changes in the Company’s revenues, costs or expenditures; the trends in, expected growth and the market size of the ADAS and Robotics industries; the market for and adoption of lidar and related technology; the Company’s ability to produce high-quality products with wide market acceptance; the success of the Company’s customers in developing and commercializing products using its solutions, and the market acceptance of those products; the Company’s ability to introduce new products that meet its customers’ requirements; the Company’s expectations regarding the effectiveness of its marketing initiatives and the relationship with its third-party partners; competition in the Company’s industry; the Company’s ability to recruit and retain qualified personnel; relevant government policies and regulations relating to the Company’s industry; the Company’s ability to protect its systems and infrastructures from cyber-attacks; general economic and business conditions globally and in China; and assumptions underlying or related to any of the foregoing. Further information regarding these and other risks is included in the Company’s filings with the SEC. All information provided in this announcement is as of the date of this announcement, and the Company undertakes no obligation to update any forward-looking statement, except as required under applicable law. In the event of any inconsistency between the English version of this announcement and its Chinese translation, the English version of this document shall prevail unless otherwise stated.</w:t>
      </w:r>
    </w:p>
    <w:p>
      <w:pPr>
        <w:pStyle w:val="TextBody"/>
        <w:bidi w:val="0"/>
        <w:spacing w:before="0" w:after="0"/>
        <w:ind w:left="0" w:right="0" w:hanging="0"/>
        <w:jc w:val="left"/>
        <w:rPr>
          <w:caps w:val="false"/>
          <w:smallCaps w:val="false"/>
        </w:rPr>
      </w:pPr>
      <w:r>
        <w:rPr>
          <w:caps w:val="false"/>
          <w:smallCaps w:val="false"/>
        </w:rPr>
        <w:t> </w:t>
      </w:r>
    </w:p>
    <w:tbl>
      <w:tblPr>
        <w:tblW w:w="3980" w:type="dxa"/>
        <w:jc w:val="left"/>
        <w:tblInd w:w="0" w:type="dxa"/>
        <w:tblLayout w:type="fixed"/>
        <w:tblCellMar>
          <w:top w:w="0" w:type="dxa"/>
          <w:left w:w="0" w:type="dxa"/>
          <w:bottom w:w="0" w:type="dxa"/>
          <w:right w:w="0" w:type="dxa"/>
        </w:tblCellMar>
      </w:tblPr>
      <w:tblGrid>
        <w:gridCol w:w="75"/>
        <w:gridCol w:w="3905"/>
      </w:tblGrid>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Yifan Li</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Executive Director and</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18,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comprises: (i) Dr. Yifan Li, Dr. Kai Sun, Mr. Shaoqing Xiang and Ms. Cailian Yang as the executive Directors; and (ii) Ms. Yi Zhang, Mr. Jia Ren and Dr. Hui Wang as the independent non-executive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6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INCOME (LOSS)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amounts 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48"/>
        <w:gridCol w:w="60"/>
        <w:gridCol w:w="485"/>
        <w:gridCol w:w="60"/>
        <w:gridCol w:w="60"/>
        <w:gridCol w:w="64"/>
        <w:gridCol w:w="940"/>
        <w:gridCol w:w="80"/>
        <w:gridCol w:w="60"/>
        <w:gridCol w:w="64"/>
        <w:gridCol w:w="940"/>
        <w:gridCol w:w="80"/>
        <w:gridCol w:w="60"/>
        <w:gridCol w:w="72"/>
        <w:gridCol w:w="932"/>
        <w:gridCol w:w="100"/>
      </w:tblGrid>
      <w:tr>
        <w:trPr/>
        <w:tc>
          <w:tcPr>
            <w:tcW w:w="61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9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1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1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1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0" w:type="dxa"/>
            <w:tcBorders/>
            <w:vAlign w:val="center"/>
          </w:tcPr>
          <w:p>
            <w:pPr>
              <w:pStyle w:val="TableContents"/>
              <w:bidi w:val="0"/>
              <w:spacing w:before="0" w:after="283"/>
              <w:jc w:val="center"/>
              <w:rPr/>
            </w:pPr>
            <w:r>
              <w:rPr/>
              <w:t> </w:t>
            </w:r>
          </w:p>
        </w:tc>
      </w:tr>
      <w:tr>
        <w:trPr/>
        <w:tc>
          <w:tcPr>
            <w:tcW w:w="61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1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00"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614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1,231,690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1,541,382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227,172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(711,977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(930,113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(137,082</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519,713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611,269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90,090</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6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(13,423</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(17,648</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(382,525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(435,846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(64,236</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(530,309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(617,635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(91,028</w:t>
            </w:r>
          </w:p>
        </w:tc>
        <w:tc>
          <w:tcPr>
            <w:tcW w:w="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(10,596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(6,366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(938</w:t>
            </w:r>
          </w:p>
        </w:tc>
        <w:tc>
          <w:tcPr>
            <w:tcW w:w="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17,064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net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 (loss), net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(6,982</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(loss) income, net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before income tax and share of loss in equity method investments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13,098</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loss in equity method investment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13,097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4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ordinary shareholders of the Company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double" w:sz="6"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9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13,097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0"/>
        <w:gridCol w:w="60"/>
        <w:gridCol w:w="485"/>
        <w:gridCol w:w="60"/>
        <w:gridCol w:w="60"/>
        <w:gridCol w:w="1205"/>
        <w:gridCol w:w="60"/>
        <w:gridCol w:w="60"/>
        <w:gridCol w:w="60"/>
        <w:gridCol w:w="1205"/>
        <w:gridCol w:w="80"/>
        <w:gridCol w:w="60"/>
        <w:gridCol w:w="60"/>
        <w:gridCol w:w="1205"/>
        <w:gridCol w:w="95"/>
      </w:tblGrid>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per share: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shares used in calculating net earnings per share: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1,055,503,080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1,251,081,328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1,251,081,328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1,111,618,112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1,303,746,620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1,303,746,620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(24,038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(loss)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56,782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(74,237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(10,941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amounts 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tbl>
      <w:tblPr>
        <w:tblW w:w="7118" w:type="dxa"/>
        <w:jc w:val="left"/>
        <w:tblInd w:w="0" w:type="dxa"/>
        <w:tblLayout w:type="fixed"/>
        <w:tblCellMar>
          <w:top w:w="0" w:type="dxa"/>
          <w:left w:w="0" w:type="dxa"/>
          <w:bottom w:w="0" w:type="dxa"/>
          <w:right w:w="0" w:type="dxa"/>
        </w:tblCellMar>
      </w:tblPr>
      <w:tblGrid>
        <w:gridCol w:w="3005"/>
        <w:gridCol w:w="60"/>
        <w:gridCol w:w="485"/>
        <w:gridCol w:w="60"/>
        <w:gridCol w:w="69"/>
        <w:gridCol w:w="1105"/>
        <w:gridCol w:w="60"/>
        <w:gridCol w:w="60"/>
        <w:gridCol w:w="60"/>
        <w:gridCol w:w="950"/>
        <w:gridCol w:w="60"/>
        <w:gridCol w:w="60"/>
        <w:gridCol w:w="65"/>
        <w:gridCol w:w="944"/>
        <w:gridCol w:w="7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1,510,094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3,091,856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5,139,710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receivable</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1,262,220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1,099,745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162,082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670,453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868,501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282,431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369,958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7,069,163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9,136,237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1,346,515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1,099,283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1,129,146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166,416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2,781,670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452,304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Land-use rights, net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4,192,115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1,867,925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275,298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11,261,278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11,004,162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1,621,813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28" w:type="dxa"/>
        <w:jc w:val="left"/>
        <w:tblInd w:w="0" w:type="dxa"/>
        <w:tblLayout w:type="fixed"/>
        <w:tblCellMar>
          <w:top w:w="0" w:type="dxa"/>
          <w:left w:w="0" w:type="dxa"/>
          <w:bottom w:w="0" w:type="dxa"/>
          <w:right w:w="0" w:type="dxa"/>
        </w:tblCellMar>
      </w:tblPr>
      <w:tblGrid>
        <w:gridCol w:w="4955"/>
        <w:gridCol w:w="60"/>
        <w:gridCol w:w="485"/>
        <w:gridCol w:w="60"/>
        <w:gridCol w:w="69"/>
        <w:gridCol w:w="1105"/>
        <w:gridCol w:w="80"/>
        <w:gridCol w:w="60"/>
        <w:gridCol w:w="60"/>
        <w:gridCol w:w="950"/>
        <w:gridCol w:w="80"/>
        <w:gridCol w:w="60"/>
        <w:gridCol w:w="65"/>
        <w:gridCol w:w="944"/>
        <w:gridCol w:w="95"/>
      </w:tblGrid>
      <w:tr>
        <w:trPr/>
        <w:tc>
          <w:tcPr>
            <w:tcW w:w="4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448,233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395,490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658,114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warranty liability</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578,495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418,539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1,895,335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1,702,530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250,923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278,727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407,189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350,941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51,722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2,302,524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2,053,471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302,645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11,925,963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11,992,137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1,767,422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(2,973,845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(2,884,980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(425,194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8,958,754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8,950,691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1,319,168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11,261,278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11,004,162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1,621,813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amounts 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47"/>
        <w:gridCol w:w="60"/>
        <w:gridCol w:w="64"/>
        <w:gridCol w:w="942"/>
        <w:gridCol w:w="80"/>
        <w:gridCol w:w="60"/>
        <w:gridCol w:w="64"/>
        <w:gridCol w:w="942"/>
        <w:gridCol w:w="80"/>
        <w:gridCol w:w="60"/>
        <w:gridCol w:w="72"/>
        <w:gridCol w:w="934"/>
        <w:gridCol w:w="100"/>
      </w:tblGrid>
      <w:tr>
        <w:trPr/>
        <w:tc>
          <w:tcPr>
            <w:tcW w:w="67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329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Six months ended June 30,</w:t>
            </w:r>
          </w:p>
        </w:tc>
        <w:tc>
          <w:tcPr>
            <w:tcW w:w="10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5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r>
          </w:p>
        </w:tc>
        <w:tc>
          <w:tcPr>
            <w:tcW w:w="10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RMB</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US$</w:t>
            </w:r>
          </w:p>
        </w:tc>
        <w:tc>
          <w:tcPr>
            <w:tcW w:w="10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w:t>
            </w:r>
          </w:p>
        </w:tc>
        <w:tc>
          <w:tcPr>
            <w:tcW w:w="10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0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(Note 2)</w:t>
            </w:r>
          </w:p>
        </w:tc>
        <w:tc>
          <w:tcPr>
            <w:tcW w:w="10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4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67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(265,432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(102,561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(15,115</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67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67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67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Purchases of short-term investments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(782,800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(115,370</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67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Maturity of short-term investments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432,000</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1,017,492</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149,960</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Purchases of property and equipment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(114,874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(141,284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(20,823</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67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Purchases of intangible assets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(17,744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(7,142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(1,053</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67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Purchases of equity securities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674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cash provided by investing activities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19,382</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86,266</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12,714</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67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Capital distribution to shareholders in connection with the 2021 Reorganization</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(292,721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Capital contribution from shareholders in connection with the 2021 Reorganization</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292,721</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Proceeds from long-term borrowings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64,216</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38,082</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5,613</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Proceeds from short-term borrowings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311,777</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393,214</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57,953</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Repayment of short-term and long-term borrowings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(239,019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(520,760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(76,750</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67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Payment of offering costs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(12,242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67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Proceeds from issuance of ordinary shares up on the exercise of share options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18,217</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5,749</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847</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674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cash provided by (used in) financing activities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142,949</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(83,715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(12,337</w:t>
            </w:r>
          </w:p>
        </w:tc>
        <w:tc>
          <w:tcPr>
            <w:tcW w:w="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67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67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Effect of foreign exchange rate changes on cash, cash equivalents and restricted cash</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(43,961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(6,480</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67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674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decrease in cash and cash equivalents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(104,136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(143,971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(21,218</w:t>
            </w:r>
          </w:p>
        </w:tc>
        <w:tc>
          <w:tcPr>
            <w:tcW w:w="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67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674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Cash, cash equivalents and restricted cash, beginning of the period</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2,842,560</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1,667,506</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245,760</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47"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0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4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Cash, cash equivalents and restricted cash, end of the period</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2,738,424</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1,523,535</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224,542</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cash, cash equivalents and restricted cash reported within the consolidated balance sheets that sum to the total of the same such amounts shown in the unaudited condensed consolidated statement of cash flows:</w:t>
      </w:r>
    </w:p>
    <w:p>
      <w:pPr>
        <w:pStyle w:val="TextBody"/>
        <w:bidi w:val="0"/>
        <w:spacing w:before="0" w:after="0"/>
        <w:ind w:left="0" w:right="0" w:hanging="0"/>
        <w:jc w:val="left"/>
        <w:rPr>
          <w:caps w:val="false"/>
          <w:smallCaps w:val="false"/>
        </w:rPr>
      </w:pPr>
      <w:r>
        <w:rPr>
          <w:caps w:val="false"/>
          <w:smallCaps w:val="false"/>
        </w:rPr>
        <w:t> </w:t>
      </w:r>
    </w:p>
    <w:tbl>
      <w:tblPr>
        <w:tblW w:w="10130" w:type="dxa"/>
        <w:jc w:val="left"/>
        <w:tblInd w:w="0" w:type="dxa"/>
        <w:tblLayout w:type="fixed"/>
        <w:tblCellMar>
          <w:top w:w="0" w:type="dxa"/>
          <w:left w:w="0" w:type="dxa"/>
          <w:bottom w:w="0" w:type="dxa"/>
          <w:right w:w="0" w:type="dxa"/>
        </w:tblCellMar>
      </w:tblPr>
      <w:tblGrid>
        <w:gridCol w:w="7190"/>
        <w:gridCol w:w="60"/>
        <w:gridCol w:w="60"/>
        <w:gridCol w:w="845"/>
        <w:gridCol w:w="60"/>
        <w:gridCol w:w="60"/>
        <w:gridCol w:w="60"/>
        <w:gridCol w:w="845"/>
        <w:gridCol w:w="60"/>
        <w:gridCol w:w="60"/>
        <w:gridCol w:w="60"/>
        <w:gridCol w:w="695"/>
        <w:gridCol w:w="75"/>
      </w:tblGrid>
      <w:tr>
        <w:trPr/>
        <w:tc>
          <w:tcPr>
            <w:tcW w:w="7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2,734,345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1,510,094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222,560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b/>
                <w:sz w:val="20"/>
              </w:rPr>
            </w:pPr>
            <w:r>
              <w:rPr>
                <w:b/>
                <w:sz w:val="20"/>
              </w:rPr>
              <w:t xml:space="preserve">Total cash, cash equivalents, and restricted </w:t>
            </w:r>
            <w:r>
              <w:rPr>
                <w:rFonts w:ascii="Times New Roman;Times;Serif" w:hAnsi="Times New Roman;Times;Serif"/>
                <w:b/>
                <w:sz w:val="20"/>
              </w:rPr>
              <w:t>cash shown in the statements of cash flows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2,738,424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1,523,535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224,542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427"/>
        <w:gridCol w:w="9663"/>
      </w:tblGrid>
      <w:tr>
        <w:trPr/>
        <w:tc>
          <w:tcPr>
            <w:tcW w:w="11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b/>
              </w:rPr>
            </w:pPr>
            <w:r>
              <w:rPr>
                <w:b/>
              </w:rPr>
              <w:t>1</w:t>
            </w:r>
          </w:p>
        </w:tc>
        <w:tc>
          <w:tcPr>
            <w:tcW w:w="9663" w:type="dxa"/>
            <w:tcBorders/>
            <w:vAlign w:val="center"/>
          </w:tcPr>
          <w:p>
            <w:pPr>
              <w:pStyle w:val="TableContents"/>
              <w:bidi w:val="0"/>
              <w:spacing w:before="0" w:after="283"/>
              <w:jc w:val="both"/>
              <w:rPr>
                <w:b/>
              </w:rPr>
            </w:pPr>
            <w:r>
              <w:rPr>
                <w:b/>
              </w:rPr>
              <w:t xml:space="preserve">GENERAL INFORMATION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Business and Corporate History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Hesai Group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was incorporated under the laws of the Cayman Islands on April 21, 2021. The Company, together with its subsidiaries (collectively, the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is primarily engaged in the development, manufacture and sales of 3-dimensional light detection and ranging solutions, or LiDAR, and other products related to spatial intelligence and robots.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History of the Group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history began in October 2014 with the establishment of Shanghai Hesai Photonics Co., Ltd. (“</w:t>
      </w:r>
      <w:r>
        <w:rPr>
          <w:rFonts w:ascii="Times New Roman;Times;Serif" w:hAnsi="Times New Roman;Times;Serif"/>
          <w:b/>
          <w:i w:val="false"/>
          <w:caps w:val="false"/>
          <w:smallCaps w:val="false"/>
          <w:sz w:val="20"/>
        </w:rPr>
        <w:t>Hesai Photonics</w:t>
      </w:r>
      <w:r>
        <w:rPr>
          <w:rFonts w:ascii="Times New Roman;Times;Serif" w:hAnsi="Times New Roman;Times;Serif"/>
          <w:b w:val="false"/>
          <w:i w:val="false"/>
          <w:caps w:val="false"/>
          <w:smallCaps w:val="false"/>
          <w:sz w:val="20"/>
        </w:rPr>
        <w:t>”), a limited liability company established in the PRC by Dr. Kai Sun, Dr. Yifan Li and Mr. Shaoqing Xiang (collectively known as the “</w:t>
      </w:r>
      <w:r>
        <w:rPr>
          <w:rFonts w:ascii="Times New Roman;Times;Serif" w:hAnsi="Times New Roman;Times;Serif"/>
          <w:b/>
          <w:i w:val="false"/>
          <w:caps w:val="false"/>
          <w:smallCaps w:val="false"/>
          <w:sz w:val="20"/>
        </w:rPr>
        <w:t>Founding Shareholders</w:t>
      </w:r>
      <w:r>
        <w:rPr>
          <w:rFonts w:ascii="Times New Roman;Times;Serif" w:hAnsi="Times New Roman;Times;Serif"/>
          <w:b w:val="false"/>
          <w:i w:val="false"/>
          <w:caps w:val="false"/>
          <w:smallCaps w:val="false"/>
          <w:sz w:val="20"/>
        </w:rPr>
        <w:t>”). In August 2020, Hesai Photonics was converted by its then shareholders into a joint stock company under the PRC law and changed its name to Shanghai Hesai.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shares have been listed in the Nasdaq Stock Exchange in the United States since February 2023 and the Main Board of the Hong Kong Stock Exchange since September 2025, respectively.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98"/>
        <w:gridCol w:w="9827"/>
      </w:tblGrid>
      <w:tr>
        <w:trPr/>
        <w:tc>
          <w:tcPr>
            <w:tcW w:w="8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b/>
              </w:rPr>
            </w:pPr>
            <w:r>
              <w:rPr>
                <w:b/>
              </w:rPr>
              <w:t>2</w:t>
            </w:r>
          </w:p>
        </w:tc>
        <w:tc>
          <w:tcPr>
            <w:tcW w:w="9827" w:type="dxa"/>
            <w:tcBorders/>
            <w:vAlign w:val="center"/>
          </w:tcPr>
          <w:p>
            <w:pPr>
              <w:pStyle w:val="TableContents"/>
              <w:bidi w:val="0"/>
              <w:spacing w:before="0" w:after="283"/>
              <w:jc w:val="both"/>
              <w:rPr>
                <w:b/>
              </w:rPr>
            </w:pPr>
            <w:r>
              <w:rPr>
                <w:b/>
              </w:rPr>
              <w:t>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of Consolidation </w:t>
      </w:r>
    </w:p>
    <w:p>
      <w:pPr>
        <w:pStyle w:val="TextBody"/>
        <w:bidi w:val="0"/>
        <w:spacing w:before="0" w:after="0"/>
        <w:ind w:left="570" w:right="0" w:hanging="0"/>
        <w:jc w:val="both"/>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in accordance with accounting principles generally accepted in the United States of America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for interim financial information. Accordingly, they do not include all of the information and footnotes required by U.S. GAAP for complete financial statements. Certain information and note disclosures normally included in the annual financial statements prepared in accordance with U.S. GAAP have been condensed or omitted. The condensed consolidated financial statements have been prepared on the same basis as the audited financial statements and include all adjustments as necessary for the fair statement of the Group’s financial position as of December 31, 2025 and June 30, 2026, results of operations and cash flows for the six months ended June 30, 2025 and 2026. The condensed consolidated balance sheet at December 31, 2025 has been derived from the audited financial statements at that date but does not include all the information and footnotes required by U.S. GAAP. The condensed consolidated financial statements and related disclosures have been prepared with the presumption that users of the condensed consolidated financial statements have read or have access to the audited consolidated financial statements for the preceding fiscal years. Accordingly, these financial statements should be read in conjunction with the audited consolidated financial statements and related footnotes for the year ended December 31, 2025. The accounting policies applied are consistent with those of the audited consolidated financial statements for the preceding fiscal year. Interim results of operations are not necessarily indicative of the results expected for the full fiscal year or for any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Use of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reported amounts of assets and liabilities, disclosure of contingent assets and liabilities at the date of the financial information and the reported amounts of revenues and expenses during the reporting period. Actual results could differ from those estimates. On an ongoing basis, the Group’s management reviews these estimates based on information that is currently available. Changes in facts and circumstances may cause the Group to revise its estimates. Significant accounting estimates reflected in the Group’s unaudited condensed consolidated financial statements mainly include allowance for credit losses, inventory write-down, warranty reserves, estimation of price adjustments and 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p>
      <w:pPr>
        <w:pStyle w:val="TextBody"/>
        <w:bidi w:val="0"/>
        <w:spacing w:before="0" w:after="0"/>
        <w:ind w:left="57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mainly consists of amounts due from the Group’s customers, which are recorded net of allowance for credit losses. The Group manages customers by six pools – domestic PRC OEM customers, domestic PRC other customers, overseas OEM customers, overseas other customers, customers facing operational difficulties and other special customers. For the purposes of performing ongoing credit evaluation, the customers are aggregated into two portfolio segments by reviewing their credit rating and assessing allowance for credit loss based on expected credit loss model. Category 1 consists of the first four pools customers who have a relatively low credit risk and no default history. Category 2 is for customers facing operational difficulties and other special circumstances who have a relatively higher credit risk. The Group develops a current expected credit loss (“</w:t>
      </w:r>
      <w:r>
        <w:rPr>
          <w:rFonts w:ascii="Times New Roman;Times;Serif" w:hAnsi="Times New Roman;Times;Serif"/>
          <w:b/>
          <w:i w:val="false"/>
          <w:caps w:val="false"/>
          <w:smallCaps w:val="false"/>
          <w:sz w:val="20"/>
        </w:rPr>
        <w:t>CECL</w:t>
      </w:r>
      <w:r>
        <w:rPr>
          <w:rFonts w:ascii="Times New Roman;Times;Serif" w:hAnsi="Times New Roman;Times;Serif"/>
          <w:b w:val="false"/>
          <w:i w:val="false"/>
          <w:caps w:val="false"/>
          <w:smallCaps w:val="false"/>
          <w:sz w:val="20"/>
        </w:rPr>
        <w:t>”) model based on historical collection experience, the age of the accounts receivable balances, current economic conditions, reasonable and supportable forecasts of future economic conditions, and other factors that may affect its ability to collect from customers. Account receivable balances are written off after all collection efforts have been exhausted.</w:t>
      </w:r>
    </w:p>
    <w:p>
      <w:pPr>
        <w:pStyle w:val="TextBody"/>
        <w:bidi w:val="0"/>
        <w:spacing w:before="0" w:after="0"/>
        <w:ind w:left="570" w:right="0" w:hanging="0"/>
        <w:jc w:val="left"/>
        <w:rPr>
          <w:caps w:val="false"/>
          <w:smallCaps w:val="false"/>
        </w:rPr>
      </w:pPr>
      <w:r>
        <w:rPr>
          <w:caps w:val="false"/>
          <w:smallCaps w:val="false"/>
        </w:rPr>
        <w:t> </w:t>
      </w:r>
    </w:p>
    <w:p>
      <w:pPr>
        <w:pStyle w:val="TextBody"/>
        <w:bidi w:val="0"/>
        <w:spacing w:before="0" w:after="0"/>
        <w:ind w:left="57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57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from sales of LiDAR products, and SGI products including products related to spatial intelligence and robots at a point in time when control of the products is transferred to the customers, which generally occurs upon delivery according to the terms of the underlying contracts. The Group’s general terms and conditions for its contracts do not contain a right of return that allows the customer to return products and receive a credit, and therefore the Group does not estimate returns. The Group’s standalone selling prices are based on the prices charged to customers for the single performance obligation which is transfer of control of products upon delivery to the customers or upon expiration of the customer acceptance period. Revenue is measured based on the transaction price and the quantity of parts specified in a contract with a customer. Discrete price adjustments, such as sales discounts, may occur in order for the Group to remain competitive with market prices. Revenue is measured as the amount of consideration expect to receive in exchange for transferring the promised goods, adjusted for any variable consideration such as price adjustments as estimated at contract inception. The Group estimates of variable consideration and determination of whether to include estimated amounts in the transaction price are based largely on an assessment of their anticipated performance and all relevant information (historical, current and forecasted) that is reasonably available to the Group. The Group adjusts the estimate of revenue at the earlier of when the value of consideration they expect to receive changes or when the consideration becomes fixed. Amounts billed to customers for shipping and handling are included in revenue. Taxes collected from customers and remitted to governmental authorities are excluded from revenue on the net basis of accounting. Accounts receivables are due under normal trade terms, typically within 30 to 90 days.</w:t>
      </w:r>
    </w:p>
    <w:p>
      <w:pPr>
        <w:pStyle w:val="TextBody"/>
        <w:bidi w:val="0"/>
        <w:spacing w:before="0" w:after="0"/>
        <w:ind w:left="57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LiDAR solution that the Group offers customers with a combination of hardware, software, deployment and professional services and engineering design, development and validation service projects, control of the goods and services may be transferred over time or at a point in time depending on the terms of the contract. Control of the goods and services is transferred over time when the Group’s performance does not create an asset with an alternative use to the Group and the Group has an enforceable right to payment for performance completed to date. The Group recognizes revenue over time using an input method based on contract cost incurred to date compared to total estimated contract cost (cost-to-cost) as the services are provided. Otherwise, revenue is recognized at a point in time when the customer obtains control of the goods and services.</w:t>
      </w:r>
    </w:p>
    <w:p>
      <w:pPr>
        <w:pStyle w:val="TextBody"/>
        <w:bidi w:val="0"/>
        <w:spacing w:before="0" w:after="0"/>
        <w:ind w:left="57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utilizes the practical expedient under ASC 606 and does not disclose unsatisfied performance obligations for the Group’s contracts as these contracts generally have an original duration of less than one year.</w:t>
      </w:r>
    </w:p>
    <w:p>
      <w:pPr>
        <w:pStyle w:val="TextBody"/>
        <w:bidi w:val="0"/>
        <w:spacing w:before="0" w:after="0"/>
        <w:ind w:left="570" w:right="0" w:hanging="0"/>
        <w:jc w:val="left"/>
        <w:rPr>
          <w:caps w:val="false"/>
          <w:smallCaps w:val="false"/>
        </w:rPr>
      </w:pPr>
      <w:r>
        <w:rPr>
          <w:caps w:val="false"/>
          <w:smallCaps w:val="false"/>
        </w:rPr>
        <w:t> </w:t>
      </w:r>
    </w:p>
    <w:p>
      <w:pPr>
        <w:pStyle w:val="TextBody"/>
        <w:bidi w:val="0"/>
        <w:spacing w:before="0" w:after="0"/>
        <w:ind w:left="57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per share</w:t>
      </w:r>
    </w:p>
    <w:p>
      <w:pPr>
        <w:pStyle w:val="TextBody"/>
        <w:bidi w:val="0"/>
        <w:spacing w:before="0" w:after="0"/>
        <w:ind w:left="57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is computed by dividing net income attributable to the holders of ordinary shares by the weighted average number of ordinary shares outstanding during the period.</w:t>
      </w:r>
    </w:p>
    <w:p>
      <w:pPr>
        <w:pStyle w:val="TextBody"/>
        <w:bidi w:val="0"/>
        <w:spacing w:before="0" w:after="0"/>
        <w:ind w:left="57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reflect the potential dilution that could occur if securities or other contracts to issue ordinary shares were exercised or converted into ordinary shares. The Group had share options, which could potentially dilute basic earnings per ordinary share in the future. To calculate the number of shares for diluted earnings per ordinary share, the effect of the share options is computed using the treasury stock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Company implemented share subdivision on the basis of every one existing issued and unissued share into eight subdivided shares (“</w:t>
      </w:r>
      <w:r>
        <w:rPr>
          <w:rFonts w:ascii="Times New Roman;Times;Serif" w:hAnsi="Times New Roman;Times;Serif"/>
          <w:b/>
          <w:i w:val="false"/>
          <w:caps w:val="false"/>
          <w:smallCaps w:val="false"/>
          <w:sz w:val="20"/>
        </w:rPr>
        <w:t>Share Subdivision</w:t>
      </w:r>
      <w:r>
        <w:rPr>
          <w:rFonts w:ascii="Times New Roman;Times;Serif" w:hAnsi="Times New Roman;Times;Serif"/>
          <w:b w:val="false"/>
          <w:i w:val="false"/>
          <w:caps w:val="false"/>
          <w:smallCaps w:val="false"/>
          <w:sz w:val="20"/>
        </w:rPr>
        <w:t>”). The Company accounted for Share Subdivision on a retrospective basis pursuant to ASC 260, Earnings Per Share. All issued and outstanding common stock, stock option awards, restricted share units, exercise prices and per share data have been adjusted in these consolidated financial statements, on a retrospective basis, to reflect the Share Subdivision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process of preparing financial statements, the Group is required to estimate its income taxes in each of the jurisdictions in which it operates. The Group accounts for income taxes using the asset and liability method. Under this method, deferred income taxes are recognized for temporary differences between the tax basis of assets and liabilities and their reported amounts in the financial statements. Net operating losses are carried forward by applying enacted statutory tax rates applicable to future years when the reported amounts of the asset or liability are expected to be recovered or settled, respectively. Deferred tax assets are reduced by a valuation allowance when, based upon the weight of available evidence, it is more likely than not that some portion or all of the deferred tax assets will not be realized. The Group recognizes the tax benefit from an uncertain tax position only if it is more likely than not that the tax position will be sustained upon examination by the taxing authorities, based on the technical merits of the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ASC 740-270 Interim Reporting, an estimated annual effective tax rate (AETR) on full year estimated ordinary income should first be determined by the Group and the estimated AETR is then applied to year-to-date ordinary income to compute the interim tax provision on ordinary income.</w:t>
      </w:r>
    </w:p>
    <w:p>
      <w:pPr>
        <w:pStyle w:val="TextBody"/>
        <w:bidi w:val="0"/>
        <w:spacing w:before="0" w:after="0"/>
        <w:ind w:left="0" w:right="0" w:hanging="0"/>
        <w:jc w:val="left"/>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125"/>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29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ACCOUNTS RECEIVABLE, NET</w:t>
            </w:r>
          </w:p>
        </w:tc>
      </w:tr>
    </w:tbl>
    <w:p>
      <w:pPr>
        <w:pStyle w:val="TextBody"/>
        <w:bidi w:val="0"/>
        <w:spacing w:before="0" w:after="283"/>
        <w:jc w:val="left"/>
        <w:rPr/>
      </w:pPr>
      <w:r>
        <w:rPr/>
        <w:t> </w:t>
      </w:r>
    </w:p>
    <w:tbl>
      <w:tblPr>
        <w:tblW w:w="7037" w:type="dxa"/>
        <w:jc w:val="left"/>
        <w:tblInd w:w="0" w:type="dxa"/>
        <w:tblLayout w:type="fixed"/>
        <w:tblCellMar>
          <w:top w:w="0" w:type="dxa"/>
          <w:left w:w="0" w:type="dxa"/>
          <w:bottom w:w="0" w:type="dxa"/>
          <w:right w:w="0" w:type="dxa"/>
        </w:tblCellMar>
      </w:tblPr>
      <w:tblGrid>
        <w:gridCol w:w="3410"/>
        <w:gridCol w:w="60"/>
        <w:gridCol w:w="77"/>
        <w:gridCol w:w="1097"/>
        <w:gridCol w:w="80"/>
        <w:gridCol w:w="60"/>
        <w:gridCol w:w="65"/>
        <w:gridCol w:w="944"/>
        <w:gridCol w:w="80"/>
        <w:gridCol w:w="60"/>
        <w:gridCol w:w="79"/>
        <w:gridCol w:w="930"/>
        <w:gridCol w:w="95"/>
      </w:tblGrid>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1,342,172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1,182,402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174,264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 for expected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1,262,220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1,099,745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162,082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an aged analysis of accounts receivable presented based on dates of delivery of goods/rendering of services. </w:t>
      </w:r>
    </w:p>
    <w:p>
      <w:pPr>
        <w:pStyle w:val="TextBody"/>
        <w:bidi w:val="0"/>
        <w:spacing w:before="0" w:after="283"/>
        <w:jc w:val="left"/>
        <w:rPr/>
      </w:pPr>
      <w:r>
        <w:rPr/>
        <w:t> </w:t>
      </w:r>
    </w:p>
    <w:tbl>
      <w:tblPr>
        <w:tblW w:w="7037" w:type="dxa"/>
        <w:jc w:val="left"/>
        <w:tblInd w:w="0" w:type="dxa"/>
        <w:tblLayout w:type="fixed"/>
        <w:tblCellMar>
          <w:top w:w="0" w:type="dxa"/>
          <w:left w:w="0" w:type="dxa"/>
          <w:bottom w:w="0" w:type="dxa"/>
          <w:right w:w="0" w:type="dxa"/>
        </w:tblCellMar>
      </w:tblPr>
      <w:tblGrid>
        <w:gridCol w:w="3410"/>
        <w:gridCol w:w="60"/>
        <w:gridCol w:w="77"/>
        <w:gridCol w:w="1097"/>
        <w:gridCol w:w="80"/>
        <w:gridCol w:w="60"/>
        <w:gridCol w:w="65"/>
        <w:gridCol w:w="944"/>
        <w:gridCol w:w="80"/>
        <w:gridCol w:w="60"/>
        <w:gridCol w:w="79"/>
        <w:gridCol w:w="930"/>
        <w:gridCol w:w="95"/>
      </w:tblGrid>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6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1,215,057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1,028,077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months to 1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2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2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1,342,172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1,182,402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174,264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 for expected credit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1,262,220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1,099,745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162,082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493"/>
        <w:gridCol w:w="9579"/>
      </w:tblGrid>
      <w:tr>
        <w:trPr/>
        <w:tc>
          <w:tcPr>
            <w:tcW w:w="13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b/>
              </w:rPr>
            </w:pPr>
            <w:r>
              <w:rPr>
                <w:b/>
              </w:rPr>
              <w:t>4</w:t>
            </w:r>
          </w:p>
        </w:tc>
        <w:tc>
          <w:tcPr>
            <w:tcW w:w="9579" w:type="dxa"/>
            <w:tcBorders/>
            <w:vAlign w:val="center"/>
          </w:tcPr>
          <w:p>
            <w:pPr>
              <w:pStyle w:val="TableContents"/>
              <w:bidi w:val="0"/>
              <w:spacing w:before="0" w:after="283"/>
              <w:jc w:val="both"/>
              <w:rPr>
                <w:b/>
              </w:rPr>
            </w:pPr>
            <w:r>
              <w:rPr>
                <w:b/>
              </w:rPr>
              <w:t xml:space="preserve">ACCOUNTS PAYABLE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aged analysis of accounts payable presented based on the invoice date.</w:t>
      </w:r>
    </w:p>
    <w:p>
      <w:pPr>
        <w:pStyle w:val="TextBody"/>
        <w:bidi w:val="0"/>
        <w:spacing w:before="0" w:after="0"/>
        <w:ind w:left="0" w:right="0" w:hanging="0"/>
        <w:jc w:val="left"/>
        <w:rPr>
          <w:caps w:val="false"/>
          <w:smallCaps w:val="false"/>
        </w:rPr>
      </w:pPr>
      <w:r>
        <w:rPr>
          <w:caps w:val="false"/>
          <w:smallCaps w:val="false"/>
        </w:rPr>
        <w:t> </w:t>
      </w:r>
    </w:p>
    <w:tbl>
      <w:tblPr>
        <w:tblW w:w="5102" w:type="dxa"/>
        <w:jc w:val="left"/>
        <w:tblInd w:w="0" w:type="dxa"/>
        <w:tblLayout w:type="fixed"/>
        <w:tblCellMar>
          <w:top w:w="0" w:type="dxa"/>
          <w:left w:w="0" w:type="dxa"/>
          <w:bottom w:w="0" w:type="dxa"/>
          <w:right w:w="0" w:type="dxa"/>
        </w:tblCellMar>
      </w:tblPr>
      <w:tblGrid>
        <w:gridCol w:w="1535"/>
        <w:gridCol w:w="60"/>
        <w:gridCol w:w="92"/>
        <w:gridCol w:w="1082"/>
        <w:gridCol w:w="60"/>
        <w:gridCol w:w="60"/>
        <w:gridCol w:w="79"/>
        <w:gridCol w:w="930"/>
        <w:gridCol w:w="60"/>
        <w:gridCol w:w="60"/>
        <w:gridCol w:w="92"/>
        <w:gridCol w:w="917"/>
        <w:gridCol w:w="75"/>
      </w:tblGrid>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6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591,757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657,154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96,853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months to 1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2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2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592,560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658,114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96,994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credit period on purchases of goods is 90 days.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960"/>
        <w:gridCol w:w="8985"/>
      </w:tblGrid>
      <w:tr>
        <w:trPr/>
        <w:tc>
          <w:tcPr>
            <w:tcW w:w="2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b/>
              </w:rPr>
            </w:pPr>
            <w:r>
              <w:rPr>
                <w:b/>
              </w:rPr>
              <w:t>5</w:t>
            </w:r>
          </w:p>
        </w:tc>
        <w:tc>
          <w:tcPr>
            <w:tcW w:w="8985" w:type="dxa"/>
            <w:tcBorders/>
            <w:vAlign w:val="center"/>
          </w:tcPr>
          <w:p>
            <w:pPr>
              <w:pStyle w:val="TableContents"/>
              <w:bidi w:val="0"/>
              <w:spacing w:before="0" w:after="283"/>
              <w:jc w:val="both"/>
              <w:rPr>
                <w:b/>
              </w:rPr>
            </w:pPr>
            <w:r>
              <w:rPr>
                <w:b/>
              </w:rPr>
              <w:t xml:space="preserve">REVENUE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Group’s net revenues for the six months ended June 30, 2025 and 2026.</w:t>
      </w:r>
    </w:p>
    <w:p>
      <w:pPr>
        <w:pStyle w:val="TextBody"/>
        <w:bidi w:val="0"/>
        <w:spacing w:before="0" w:after="0"/>
        <w:ind w:left="0" w:right="0" w:hanging="0"/>
        <w:jc w:val="left"/>
        <w:rPr>
          <w:caps w:val="false"/>
          <w:smallCaps w:val="false"/>
        </w:rPr>
      </w:pPr>
      <w:r>
        <w:rPr>
          <w:caps w:val="false"/>
          <w:smallCaps w:val="false"/>
        </w:rPr>
        <w:t> </w:t>
      </w:r>
    </w:p>
    <w:tbl>
      <w:tblPr>
        <w:tblW w:w="8031" w:type="dxa"/>
        <w:jc w:val="left"/>
        <w:tblInd w:w="0" w:type="dxa"/>
        <w:tblLayout w:type="fixed"/>
        <w:tblCellMar>
          <w:top w:w="0" w:type="dxa"/>
          <w:left w:w="0" w:type="dxa"/>
          <w:bottom w:w="0" w:type="dxa"/>
          <w:right w:w="0" w:type="dxa"/>
        </w:tblCellMar>
      </w:tblPr>
      <w:tblGrid>
        <w:gridCol w:w="4625"/>
        <w:gridCol w:w="60"/>
        <w:gridCol w:w="65"/>
        <w:gridCol w:w="944"/>
        <w:gridCol w:w="61"/>
        <w:gridCol w:w="61"/>
        <w:gridCol w:w="65"/>
        <w:gridCol w:w="944"/>
        <w:gridCol w:w="61"/>
        <w:gridCol w:w="61"/>
        <w:gridCol w:w="79"/>
        <w:gridCol w:w="930"/>
        <w:gridCol w:w="75"/>
      </w:tblGrid>
      <w:tr>
        <w:trPr/>
        <w:tc>
          <w:tcPr>
            <w:tcW w:w="4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7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pPr>
            <w:r>
              <w:rPr/>
              <w:t> </w:t>
            </w:r>
          </w:p>
        </w:tc>
      </w:tr>
      <w:tr>
        <w:trPr/>
        <w:tc>
          <w:tcPr>
            <w:tcW w:w="4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LiDAR revenues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LiDAR products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1,205,621</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1,491,625</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219,839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Engineering design, development and validation service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16,843</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products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4,467</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2,772</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4,759</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2,042</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SGI revenues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SGI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41,717</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and support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3,226</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1,231,690</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1,541,382</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227,172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Group’s revenues recognized at a point in time or over time.</w:t>
      </w:r>
    </w:p>
    <w:p>
      <w:pPr>
        <w:pStyle w:val="TextBody"/>
        <w:bidi w:val="0"/>
        <w:spacing w:before="0" w:after="0"/>
        <w:ind w:left="0" w:right="0" w:hanging="0"/>
        <w:jc w:val="left"/>
        <w:rPr>
          <w:caps w:val="false"/>
          <w:smallCaps w:val="false"/>
        </w:rPr>
      </w:pPr>
      <w:r>
        <w:rPr>
          <w:caps w:val="false"/>
          <w:smallCaps w:val="false"/>
        </w:rPr>
        <w:t> </w:t>
      </w:r>
    </w:p>
    <w:tbl>
      <w:tblPr>
        <w:tblW w:w="6531" w:type="dxa"/>
        <w:jc w:val="left"/>
        <w:tblInd w:w="0" w:type="dxa"/>
        <w:tblLayout w:type="fixed"/>
        <w:tblCellMar>
          <w:top w:w="0" w:type="dxa"/>
          <w:left w:w="0" w:type="dxa"/>
          <w:bottom w:w="0" w:type="dxa"/>
          <w:right w:w="0" w:type="dxa"/>
        </w:tblCellMar>
      </w:tblPr>
      <w:tblGrid>
        <w:gridCol w:w="3125"/>
        <w:gridCol w:w="60"/>
        <w:gridCol w:w="65"/>
        <w:gridCol w:w="944"/>
        <w:gridCol w:w="61"/>
        <w:gridCol w:w="61"/>
        <w:gridCol w:w="65"/>
        <w:gridCol w:w="944"/>
        <w:gridCol w:w="61"/>
        <w:gridCol w:w="61"/>
        <w:gridCol w:w="79"/>
        <w:gridCol w:w="930"/>
        <w:gridCol w:w="75"/>
      </w:tblGrid>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7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at a point of time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1,231,690</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1,541,345</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227,167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over time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1,231,690</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1,541,382</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227,172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Group’s revenues disaggregated by the different geographic location.</w:t>
      </w:r>
    </w:p>
    <w:p>
      <w:pPr>
        <w:pStyle w:val="TextBody"/>
        <w:bidi w:val="0"/>
        <w:spacing w:before="0" w:after="0"/>
        <w:ind w:left="0" w:right="0" w:hanging="0"/>
        <w:jc w:val="left"/>
        <w:rPr>
          <w:caps w:val="false"/>
          <w:smallCaps w:val="false"/>
        </w:rPr>
      </w:pPr>
      <w:r>
        <w:rPr>
          <w:caps w:val="false"/>
          <w:smallCaps w:val="false"/>
        </w:rPr>
        <w:t> </w:t>
      </w:r>
    </w:p>
    <w:tbl>
      <w:tblPr>
        <w:tblW w:w="6156" w:type="dxa"/>
        <w:jc w:val="left"/>
        <w:tblInd w:w="0" w:type="dxa"/>
        <w:tblLayout w:type="fixed"/>
        <w:tblCellMar>
          <w:top w:w="0" w:type="dxa"/>
          <w:left w:w="0" w:type="dxa"/>
          <w:bottom w:w="0" w:type="dxa"/>
          <w:right w:w="0" w:type="dxa"/>
        </w:tblCellMar>
      </w:tblPr>
      <w:tblGrid>
        <w:gridCol w:w="2750"/>
        <w:gridCol w:w="60"/>
        <w:gridCol w:w="65"/>
        <w:gridCol w:w="944"/>
        <w:gridCol w:w="61"/>
        <w:gridCol w:w="61"/>
        <w:gridCol w:w="65"/>
        <w:gridCol w:w="944"/>
        <w:gridCol w:w="61"/>
        <w:gridCol w:w="61"/>
        <w:gridCol w:w="79"/>
        <w:gridCol w:w="930"/>
        <w:gridCol w:w="75"/>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7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pPr>
            <w:r>
              <w:rPr/>
              <w:t> </w:t>
            </w:r>
          </w:p>
        </w:tc>
      </w:tr>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by geographic location</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Chinese Mainland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998,299</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1,145,285</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142,906</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282,367</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59,599</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62,172</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regions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30,886</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51,558</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1,231,690</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1,541,382</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227,172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125"/>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b/>
                <w:sz w:val="20"/>
              </w:rPr>
            </w:pPr>
            <w:r>
              <w:rPr>
                <w:b/>
                <w:sz w:val="20"/>
              </w:rPr>
              <w:t>6</w:t>
            </w:r>
          </w:p>
        </w:tc>
        <w:tc>
          <w:tcPr>
            <w:tcW w:w="2630" w:type="dxa"/>
            <w:tcBorders/>
            <w:vAlign w:val="center"/>
          </w:tcPr>
          <w:p>
            <w:pPr>
              <w:pStyle w:val="TableContents"/>
              <w:bidi w:val="0"/>
              <w:spacing w:before="0" w:after="283"/>
              <w:jc w:val="both"/>
              <w:rPr>
                <w:b/>
                <w:sz w:val="20"/>
              </w:rPr>
            </w:pPr>
            <w:r>
              <w:rPr>
                <w:b/>
                <w:sz w:val="20"/>
              </w:rPr>
              <w:t>NET 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earnings per share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35"/>
        <w:gridCol w:w="60"/>
        <w:gridCol w:w="60"/>
        <w:gridCol w:w="1205"/>
        <w:gridCol w:w="60"/>
        <w:gridCol w:w="60"/>
        <w:gridCol w:w="60"/>
        <w:gridCol w:w="1205"/>
        <w:gridCol w:w="60"/>
        <w:gridCol w:w="60"/>
        <w:gridCol w:w="60"/>
        <w:gridCol w:w="1205"/>
        <w:gridCol w:w="75"/>
      </w:tblGrid>
      <w:tr>
        <w:trPr/>
        <w:tc>
          <w:tcPr>
            <w:tcW w:w="6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3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attributable to ordinary shareholders of the Company –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ordinary shares outstanding-basic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1,055,503,080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1,251,081,328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1,251,081,328</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Incremental weighted-average ordinary shares from assumed exercise of share options and nonvested restricted stocks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56,115,032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52,665,292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52,665,292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ordinary shares outstanding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1,111,618,112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1,303,746,620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1,303,746,620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2026, the following share options were excluded from the calculation of diluted net earnings per ordinary share, as their inclusion would have been anti-dilutive for the periods prescribed.</w:t>
      </w:r>
    </w:p>
    <w:p>
      <w:pPr>
        <w:pStyle w:val="TextBody"/>
        <w:bidi w:val="0"/>
        <w:spacing w:before="0" w:after="0"/>
        <w:ind w:left="0" w:right="0" w:hanging="0"/>
        <w:jc w:val="left"/>
        <w:rPr>
          <w:caps w:val="false"/>
          <w:smallCaps w:val="false"/>
        </w:rPr>
      </w:pPr>
      <w:r>
        <w:rPr>
          <w:caps w:val="false"/>
          <w:smallCaps w:val="false"/>
        </w:rPr>
        <w:t> </w:t>
      </w:r>
    </w:p>
    <w:tbl>
      <w:tblPr>
        <w:tblW w:w="7028" w:type="dxa"/>
        <w:jc w:val="left"/>
        <w:tblInd w:w="0" w:type="dxa"/>
        <w:tblLayout w:type="fixed"/>
        <w:tblCellMar>
          <w:top w:w="0" w:type="dxa"/>
          <w:left w:w="0" w:type="dxa"/>
          <w:bottom w:w="0" w:type="dxa"/>
          <w:right w:w="0" w:type="dxa"/>
        </w:tblCellMar>
      </w:tblPr>
      <w:tblGrid>
        <w:gridCol w:w="4025"/>
        <w:gridCol w:w="60"/>
        <w:gridCol w:w="89"/>
        <w:gridCol w:w="1256"/>
        <w:gridCol w:w="89"/>
        <w:gridCol w:w="89"/>
        <w:gridCol w:w="89"/>
        <w:gridCol w:w="1256"/>
        <w:gridCol w:w="75"/>
      </w:tblGrid>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8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9" w:type="dxa"/>
            <w:tcBorders/>
            <w:vAlign w:val="center"/>
          </w:tcPr>
          <w:p>
            <w:pPr>
              <w:pStyle w:val="TableContents"/>
              <w:bidi w:val="0"/>
              <w:spacing w:before="0" w:after="283"/>
              <w:jc w:val="center"/>
              <w:rPr>
                <w:caps w:val="false"/>
                <w:smallCaps w:val="false"/>
              </w:rPr>
            </w:pPr>
            <w:r>
              <w:rPr>
                <w:caps w:val="false"/>
                <w:smallCaps w:val="false"/>
              </w:rPr>
              <w:t> </w:t>
            </w:r>
          </w:p>
        </w:tc>
        <w:tc>
          <w:tcPr>
            <w:tcW w:w="89" w:type="dxa"/>
            <w:tcBorders/>
            <w:vAlign w:val="center"/>
          </w:tcPr>
          <w:p>
            <w:pPr>
              <w:pStyle w:val="TableContents"/>
              <w:bidi w:val="0"/>
              <w:spacing w:before="0" w:after="283"/>
              <w:jc w:val="center"/>
              <w:rPr>
                <w:caps w:val="false"/>
                <w:smallCaps w:val="false"/>
              </w:rPr>
            </w:pPr>
            <w:r>
              <w:rPr>
                <w:caps w:val="false"/>
                <w:smallCaps w:val="false"/>
              </w:rPr>
              <w:t> </w:t>
            </w:r>
          </w:p>
        </w:tc>
        <w:tc>
          <w:tcPr>
            <w:tcW w:w="13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9" w:type="dxa"/>
            <w:tcBorders/>
            <w:vAlign w:val="center"/>
          </w:tcPr>
          <w:p>
            <w:pPr>
              <w:pStyle w:val="TableContents"/>
              <w:bidi w:val="0"/>
              <w:spacing w:before="0" w:after="283"/>
              <w:jc w:val="center"/>
              <w:rPr>
                <w:caps w:val="false"/>
                <w:smallCaps w:val="false"/>
              </w:rPr>
            </w:pPr>
            <w:r>
              <w:rPr>
                <w:caps w:val="false"/>
                <w:smallCaps w:val="false"/>
              </w:rPr>
              <w:t> </w:t>
            </w:r>
          </w:p>
        </w:tc>
        <w:tc>
          <w:tcPr>
            <w:tcW w:w="89" w:type="dxa"/>
            <w:tcBorders/>
            <w:vAlign w:val="center"/>
          </w:tcPr>
          <w:p>
            <w:pPr>
              <w:pStyle w:val="TableContents"/>
              <w:bidi w:val="0"/>
              <w:spacing w:before="0" w:after="283"/>
              <w:jc w:val="center"/>
              <w:rPr>
                <w:caps w:val="false"/>
                <w:smallCaps w:val="false"/>
              </w:rPr>
            </w:pPr>
            <w:r>
              <w:rPr>
                <w:caps w:val="false"/>
                <w:smallCaps w:val="false"/>
              </w:rPr>
              <w:t> </w:t>
            </w:r>
          </w:p>
        </w:tc>
        <w:tc>
          <w:tcPr>
            <w:tcW w:w="13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issuable upon exercise of share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1,128,192</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1,845,704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issuable upon vest of restricted share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1,128,192</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2,041,632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33" w:type="dxa"/>
        <w:jc w:val="left"/>
        <w:tblInd w:w="0" w:type="dxa"/>
        <w:tblLayout w:type="fixed"/>
        <w:tblCellMar>
          <w:top w:w="0" w:type="dxa"/>
          <w:left w:w="0" w:type="dxa"/>
          <w:bottom w:w="0" w:type="dxa"/>
          <w:right w:w="0" w:type="dxa"/>
        </w:tblCellMar>
      </w:tblPr>
      <w:tblGrid>
        <w:gridCol w:w="38"/>
        <w:gridCol w:w="125"/>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b/>
                <w:sz w:val="20"/>
              </w:rPr>
            </w:pPr>
            <w:r>
              <w:rPr>
                <w:b/>
                <w:sz w:val="20"/>
              </w:rPr>
              <w:t>7</w:t>
            </w:r>
          </w:p>
        </w:tc>
        <w:tc>
          <w:tcPr>
            <w:tcW w:w="1070" w:type="dxa"/>
            <w:tcBorders/>
            <w:vAlign w:val="center"/>
          </w:tcPr>
          <w:p>
            <w:pPr>
              <w:pStyle w:val="TableContents"/>
              <w:bidi w:val="0"/>
              <w:spacing w:before="0" w:after="283"/>
              <w:jc w:val="both"/>
              <w:rPr>
                <w:b/>
                <w:sz w:val="20"/>
              </w:rPr>
            </w:pPr>
            <w:r>
              <w:rPr>
                <w:b/>
                <w:sz w:val="20"/>
              </w:rPr>
              <w:t>TAXATION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and deferred portion of income tax expenses included in the consolidated statements of operations and comprehensive income (loss) are as follows:</w:t>
      </w:r>
    </w:p>
    <w:p>
      <w:pPr>
        <w:pStyle w:val="TextBody"/>
        <w:bidi w:val="0"/>
        <w:spacing w:before="0" w:after="0"/>
        <w:ind w:left="0" w:right="0" w:hanging="0"/>
        <w:jc w:val="left"/>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1805"/>
        <w:gridCol w:w="60"/>
        <w:gridCol w:w="373"/>
        <w:gridCol w:w="709"/>
        <w:gridCol w:w="185"/>
        <w:gridCol w:w="185"/>
        <w:gridCol w:w="396"/>
        <w:gridCol w:w="613"/>
        <w:gridCol w:w="185"/>
        <w:gridCol w:w="185"/>
        <w:gridCol w:w="465"/>
        <w:gridCol w:w="544"/>
        <w:gridCol w:w="75"/>
      </w:tblGrid>
      <w:tr>
        <w:trPr/>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84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23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10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interim income tax reporting, the Group estimates its annual effective tax rate and applies it to its year-to-date ordinary income. The Group’s effective tax rate for the six months ended June 30, 2025 and 2026 were 0.10% (unaudited) and 0.01% (unaudited), respectively.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941"/>
        <w:gridCol w:w="9009"/>
      </w:tblGrid>
      <w:tr>
        <w:trPr/>
        <w:tc>
          <w:tcPr>
            <w:tcW w:w="25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b/>
              </w:rPr>
            </w:pPr>
            <w:r>
              <w:rPr>
                <w:b/>
              </w:rPr>
              <w:t>8</w:t>
            </w:r>
          </w:p>
        </w:tc>
        <w:tc>
          <w:tcPr>
            <w:tcW w:w="9009" w:type="dxa"/>
            <w:tcBorders/>
            <w:vAlign w:val="center"/>
          </w:tcPr>
          <w:p>
            <w:pPr>
              <w:pStyle w:val="TableContents"/>
              <w:bidi w:val="0"/>
              <w:spacing w:before="0" w:after="283"/>
              <w:jc w:val="both"/>
              <w:rPr>
                <w:b/>
              </w:rPr>
            </w:pPr>
            <w:r>
              <w:rPr>
                <w:b/>
              </w:rPr>
              <w:t xml:space="preserve">DIVIDEND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have been declared or paid by the Company for the six months ended June 30, 2025 and 2026,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13807</Words>
  <Characters>78733</Characters>
  <CharactersWithSpaces>94972</CharactersWithSpaces>
  <Paragraphs>6240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