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285d1_6k.htm"/>
      <w:bookmarkStart w:id="1" w:name="kstm262428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455"/>
        <w:gridCol w:w="8945"/>
      </w:tblGrid>
      <w:tr>
        <w:trPr/>
        <w:tc>
          <w:tcPr>
            <w:tcW w:w="455" w:type="dxa"/>
            <w:tcBorders/>
            <w:vAlign w:val="center"/>
          </w:tcPr>
          <w:p>
            <w:pPr>
              <w:pStyle w:val="TableContents"/>
              <w:bidi w:val="0"/>
              <w:spacing w:before="0" w:after="283"/>
              <w:jc w:val="left"/>
              <w:rPr/>
            </w:pPr>
            <w:hyperlink w:anchor="tm2624285d1_ex99-1.htm">
              <w:r>
                <w:rPr>
                  <w:rStyle w:val="InternetLink"/>
                </w:rPr>
                <w:t>99.1</w:t>
              </w:r>
            </w:hyperlink>
          </w:p>
        </w:tc>
        <w:tc>
          <w:tcPr>
            <w:tcW w:w="8945" w:type="dxa"/>
            <w:tcBorders/>
            <w:vAlign w:val="center"/>
          </w:tcPr>
          <w:p>
            <w:pPr>
              <w:pStyle w:val="TableContents"/>
              <w:bidi w:val="0"/>
              <w:spacing w:before="0" w:after="283"/>
              <w:jc w:val="both"/>
              <w:rPr/>
            </w:pPr>
            <w:hyperlink w:anchor="tm2624285d1_ex99-1.htm">
              <w:r>
                <w:rPr>
                  <w:rStyle w:val="InternetLink"/>
                </w:rPr>
                <w:t>Announcement – Poll Results of the Extraordinary General Meeting Held on August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40" w:type="dxa"/>
        <w:jc w:val="left"/>
        <w:tblInd w:w="0" w:type="dxa"/>
        <w:tblLayout w:type="fixed"/>
        <w:tblCellMar>
          <w:top w:w="0" w:type="dxa"/>
          <w:left w:w="0" w:type="dxa"/>
          <w:bottom w:w="0" w:type="dxa"/>
          <w:right w:w="0" w:type="dxa"/>
        </w:tblCellMar>
      </w:tblPr>
      <w:tblGrid>
        <w:gridCol w:w="75"/>
        <w:gridCol w:w="485"/>
        <w:gridCol w:w="125"/>
        <w:gridCol w:w="1955"/>
      </w:tblGrid>
      <w:tr>
        <w:trPr/>
        <w:tc>
          <w:tcPr>
            <w:tcW w:w="75" w:type="dxa"/>
            <w:tcBorders/>
            <w:vAlign w:val="center"/>
          </w:tcPr>
          <w:p>
            <w:pPr>
              <w:pStyle w:val="TableContents"/>
              <w:bidi w:val="0"/>
              <w:spacing w:before="0" w:after="283"/>
              <w:jc w:val="left"/>
              <w:rPr/>
            </w:pPr>
            <w:r>
              <w:rPr/>
              <w:t> </w:t>
            </w:r>
          </w:p>
        </w:tc>
        <w:tc>
          <w:tcPr>
            <w:tcW w:w="25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25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285d1_ex99-1.htm"/>
      <w:bookmarkStart w:id="3" w:name="kstm2624285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240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514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p>
      <w:pPr>
        <w:pStyle w:val="TextBody"/>
        <w:bidi w:val="0"/>
        <w:spacing w:before="0" w:after="0"/>
        <w:jc w:val="center"/>
        <w:rPr>
          <w:caps w:val="false"/>
          <w:smallCaps w:val="false"/>
        </w:rPr>
      </w:pPr>
      <w:r>
        <w:rPr>
          <w:rFonts w:eastAsia="Times New Roman;Times;Serif"/>
          <w:b/>
          <w:i w:val="false"/>
          <w:caps w:val="false"/>
          <w:smallCaps w:val="false"/>
          <w:sz w:val="20"/>
        </w:rPr>
        <w:t xml:space="preserve">禾 賽 科 技 </w:t>
      </w:r>
      <w:r>
        <w:rPr>
          <w:rFonts w:ascii="Times New Roman;Times;Serif" w:hAnsi="Times New Roman;Times;Serif"/>
          <w:b/>
          <w:i w:val="false"/>
          <w:caps w:val="false"/>
          <w:smallCaps w:val="false"/>
          <w:sz w:val="20"/>
        </w:rPr>
        <w:t>*</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company controlled through weighted voting rights and 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2525)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Stock Ticker: HSAI)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RESULTS OF THE EXTRAORDINARY GENERAL MEETING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ON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are made to the circular (the “</w:t>
      </w:r>
      <w:r>
        <w:rPr>
          <w:rFonts w:ascii="Times New Roman;Times;Serif" w:hAnsi="Times New Roman;Times;Serif"/>
          <w:b/>
          <w:i w:val="false"/>
          <w:caps w:val="false"/>
          <w:smallCaps w:val="false"/>
          <w:sz w:val="20"/>
        </w:rPr>
        <w:t>Circular</w:t>
      </w:r>
      <w:r>
        <w:rPr>
          <w:rFonts w:ascii="Times New Roman;Times;Serif" w:hAnsi="Times New Roman;Times;Serif"/>
          <w:b w:val="false"/>
          <w:i w:val="false"/>
          <w:caps w:val="false"/>
          <w:smallCaps w:val="false"/>
          <w:sz w:val="20"/>
        </w:rPr>
        <w:t>”) and notice (the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of the 2026 second extraordinary general meeting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of Hesai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dated July 31, 2026. Unless otherwise required by the context, capitalized terms used in this announcement shall have the same meanings as defined in the Circular and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RESULTS OF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is pleased to announce that the EGM was held at No. 28, Ciyun Road, Yangcheng Lake Peninsula, Weiting Town, Suzhou Industrial Park, Jiangsu Province, the People’s Republic of China on Friday, August 28, 2026 at 1:30 p.m. (Beijing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proposed at the EGM has been duly passed as an ordinary resolution. As of the Share Record Date, the total number of issued Shares was 1,257,137,688 Shares, comprising 215,990,888 Class A Ordinary Shares and 1,041,146,800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15,104,112 Class B Ordinary Shares (including the Class B Ordinary Shares issued to the Depositary for bulk issuance of ADSs reserved for future issuances upon the exercise or vesting of awards granted under the 2021 Plan of the Company) have abstained from voting on the resolution numbered 1 at the EGM in accordance with Rule 17.05A of the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the Circular, each of the Co-Founders, namely Dr. Li Yifan, Dr. Sun Kai and Mr. Shaoqing Xiang, and their respective associates are required to abstain and had abstained from voting on the resolution numbered 1 at the EGM in respect of a total of 217,311,136 Shares (comprising 215,990,888 Class A Ordinary Shares and 1,320,248 Class B Ordinary Shares) held by them.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the Share Record Date, there were (i) no treasury shares held by the Company (including any treasury shares held or deposited with CCASS), and (ii) no repurchased Shares which are pending cancellation and should be excluded from the total number of issued Shares for the purpose of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if any,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Saved as disclosed, (i) there was no Shareholder who was required to abstain from voting under the Listing Rules on any resolution proposed at the EGM, nor any Shareholder who was entitled to attend the EGM but was required to abstain from voting in favour of any resolution proposed at the EGM pursuant to Rule 13.40 of the Listing Rules, and (ii) no Shareholder has indicated in the Circular that he or she intends to vote against or in abstention in respect of any resolution proposed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total number of Shares entitling the holder to attend and vote on the resolution numbered 1 proposed at the EGM was 1,024,722,440 Shares, comprising nil Class A Ordinary Shares and 1,024,722,440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third amended and restated memorandum and articles of association (the “</w:t>
      </w:r>
      <w:r>
        <w:rPr>
          <w:rFonts w:ascii="Times New Roman;Times;Serif" w:hAnsi="Times New Roman;Times;Serif"/>
          <w:b/>
          <w:i w:val="false"/>
          <w:caps w:val="false"/>
          <w:smallCaps w:val="false"/>
          <w:sz w:val="20"/>
        </w:rPr>
        <w:t>Memorandum and Articles of Association</w:t>
      </w:r>
      <w:r>
        <w:rPr>
          <w:rFonts w:ascii="Times New Roman;Times;Serif" w:hAnsi="Times New Roman;Times;Serif"/>
          <w:b w:val="false"/>
          <w:i w:val="false"/>
          <w:caps w:val="false"/>
          <w:smallCaps w:val="false"/>
          <w:sz w:val="20"/>
        </w:rPr>
        <w:t>”), with regard to the resolution numbered 1, each Class B Ordinary Share shall entitle its holder to one vote on a poll at the EGM.</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the Listing Rules, voting on the resolution proposed at the EGM was conducted by way of poll. The voting results in respect of the resolution proposed at the EGM are set out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28" w:type="dxa"/>
        </w:tblCellMar>
      </w:tblPr>
      <w:tblGrid>
        <w:gridCol w:w="142"/>
        <w:gridCol w:w="3916"/>
        <w:gridCol w:w="1042"/>
        <w:gridCol w:w="1055"/>
        <w:gridCol w:w="893"/>
        <w:gridCol w:w="965"/>
        <w:gridCol w:w="1059"/>
        <w:gridCol w:w="1055"/>
        <w:gridCol w:w="78"/>
      </w:tblGrid>
      <w:tr>
        <w:trPr/>
        <w:tc>
          <w:tcPr>
            <w:tcW w:w="5100" w:type="dxa"/>
            <w:gridSpan w:val="3"/>
            <w:vMerge w:val="restart"/>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ORDINARY RESOLUTION</w:t>
            </w:r>
          </w:p>
        </w:tc>
        <w:tc>
          <w:tcPr>
            <w:tcW w:w="2913" w:type="dxa"/>
            <w:gridSpan w:val="3"/>
            <w:tcBorders>
              <w:top w:val="single" w:sz="8" w:space="0" w:color="000000"/>
              <w:bottom w:val="single" w:sz="8" w:space="0" w:color="000000"/>
              <w:right w:val="single" w:sz="8" w:space="0" w:color="000000"/>
            </w:tcBorders>
            <w:tcMar>
              <w:top w:w="60" w:type="dxa"/>
              <w:left w:w="0" w:type="dxa"/>
              <w:bottom w:w="6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VOTES CAST</w:t>
              <w:br/>
              <w:t>AND PERCENTAGE (%)</w:t>
            </w:r>
          </w:p>
        </w:tc>
        <w:tc>
          <w:tcPr>
            <w:tcW w:w="1059" w:type="dxa"/>
            <w:vMerge w:val="restart"/>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NUMBER</w:t>
            </w:r>
          </w:p>
        </w:tc>
        <w:tc>
          <w:tcPr>
            <w:tcW w:w="1055" w:type="dxa"/>
            <w:vMerge w:val="restart"/>
            <w:tcBorders>
              <w:top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NUMBER</w:t>
            </w:r>
          </w:p>
        </w:tc>
        <w:tc>
          <w:tcPr>
            <w:tcW w:w="78" w:type="dxa"/>
            <w:tcBorders/>
            <w:tcMar>
              <w:top w:w="0" w:type="dxa"/>
              <w:left w:w="0" w:type="dxa"/>
              <w:right w:w="0" w:type="dxa"/>
            </w:tcMar>
          </w:tcPr>
          <w:p>
            <w:pPr>
              <w:pStyle w:val="TableContents"/>
              <w:bidi w:val="0"/>
              <w:spacing w:before="0" w:after="283"/>
              <w:jc w:val="left"/>
              <w:rPr>
                <w:sz w:val="4"/>
                <w:szCs w:val="4"/>
              </w:rPr>
            </w:pPr>
            <w:r>
              <w:rPr>
                <w:sz w:val="4"/>
                <w:szCs w:val="4"/>
              </w:rPr>
            </w:r>
          </w:p>
        </w:tc>
      </w:tr>
      <w:tr>
        <w:trPr/>
        <w:tc>
          <w:tcPr>
            <w:tcW w:w="5100" w:type="dxa"/>
            <w:gridSpan w:val="3"/>
            <w:vMerge w:val="continue"/>
            <w:tcBorders>
              <w:top w:val="single" w:sz="8" w:space="0" w:color="000000"/>
              <w:left w:val="single" w:sz="8" w:space="0" w:color="000000"/>
              <w:right w:val="single" w:sz="8" w:space="0" w:color="000000"/>
            </w:tcBorders>
            <w:vAlign w:val="center"/>
          </w:tcPr>
          <w:p>
            <w:pPr>
              <w:pStyle w:val="Normal"/>
              <w:bidi w:val="0"/>
              <w:jc w:val="left"/>
              <w:rPr/>
            </w:pPr>
            <w:r>
              <w:rPr/>
            </w:r>
          </w:p>
        </w:tc>
        <w:tc>
          <w:tcPr>
            <w:tcW w:w="1055" w:type="dxa"/>
            <w:vMerge w:val="restart"/>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893" w:type="dxa"/>
            <w:vMerge w:val="restart"/>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965" w:type="dxa"/>
            <w:vMerge w:val="restart"/>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r>
              <w:rPr>
                <w:rFonts w:ascii="Times New Roman;Times;Serif" w:hAnsi="Times New Roman;Times;Serif"/>
                <w:b/>
                <w:position w:val="7"/>
                <w:sz w:val="16"/>
                <w:sz w:val="20"/>
              </w:rPr>
              <w:t>1</w:t>
            </w:r>
          </w:p>
        </w:tc>
        <w:tc>
          <w:tcPr>
            <w:tcW w:w="1059" w:type="dxa"/>
            <w:vMerge w:val="continue"/>
            <w:tcBorders>
              <w:top w:val="single" w:sz="8" w:space="0" w:color="000000"/>
              <w:right w:val="single" w:sz="8" w:space="0" w:color="000000"/>
            </w:tcBorders>
            <w:tcMar>
              <w:left w:w="0" w:type="dxa"/>
            </w:tcMar>
            <w:vAlign w:val="center"/>
          </w:tcPr>
          <w:p>
            <w:pPr>
              <w:pStyle w:val="Normal"/>
              <w:bidi w:val="0"/>
              <w:jc w:val="left"/>
              <w:rPr/>
            </w:pPr>
            <w:r>
              <w:rPr/>
            </w:r>
          </w:p>
        </w:tc>
        <w:tc>
          <w:tcPr>
            <w:tcW w:w="1055" w:type="dxa"/>
            <w:vMerge w:val="continue"/>
            <w:tcBorders>
              <w:top w:val="single" w:sz="8" w:space="0" w:color="000000"/>
              <w:right w:val="single" w:sz="8" w:space="0" w:color="000000"/>
            </w:tcBorders>
            <w:tcMar>
              <w:left w:w="0" w:type="dxa"/>
            </w:tcMar>
            <w:vAlign w:val="center"/>
          </w:tcPr>
          <w:p>
            <w:pPr>
              <w:pStyle w:val="Normal"/>
              <w:bidi w:val="0"/>
              <w:jc w:val="left"/>
              <w:rPr/>
            </w:pPr>
            <w:r>
              <w:rPr/>
            </w:r>
          </w:p>
        </w:tc>
        <w:tc>
          <w:tcPr>
            <w:tcW w:w="78" w:type="dxa"/>
            <w:tcBorders/>
            <w:tcMar>
              <w:top w:w="0" w:type="dxa"/>
              <w:left w:w="0" w:type="dxa"/>
              <w:right w:w="0" w:type="dxa"/>
            </w:tcMar>
            <w:vAlign w:val="center"/>
          </w:tcPr>
          <w:p>
            <w:pPr>
              <w:pStyle w:val="TableContents"/>
              <w:bidi w:val="0"/>
              <w:spacing w:before="0" w:after="283"/>
              <w:jc w:val="left"/>
              <w:rPr/>
            </w:pPr>
            <w:r>
              <w:rPr/>
              <w:t> </w:t>
            </w:r>
          </w:p>
        </w:tc>
      </w:tr>
      <w:tr>
        <w:trPr/>
        <w:tc>
          <w:tcPr>
            <w:tcW w:w="5100" w:type="dxa"/>
            <w:gridSpan w:val="3"/>
            <w:vMerge w:val="continue"/>
            <w:tcBorders>
              <w:top w:val="single" w:sz="8" w:space="0" w:color="000000"/>
              <w:left w:val="single" w:sz="8" w:space="0" w:color="000000"/>
              <w:right w:val="single" w:sz="8" w:space="0" w:color="000000"/>
            </w:tcBorders>
            <w:vAlign w:val="center"/>
          </w:tcPr>
          <w:p>
            <w:pPr>
              <w:pStyle w:val="Normal"/>
              <w:bidi w:val="0"/>
              <w:jc w:val="left"/>
              <w:rPr/>
            </w:pPr>
            <w:r>
              <w:rPr/>
            </w:r>
          </w:p>
        </w:tc>
        <w:tc>
          <w:tcPr>
            <w:tcW w:w="1055" w:type="dxa"/>
            <w:vMerge w:val="continue"/>
            <w:tcBorders>
              <w:right w:val="single" w:sz="8" w:space="0" w:color="000000"/>
            </w:tcBorders>
            <w:tcMar>
              <w:top w:w="0" w:type="dxa"/>
              <w:left w:w="0" w:type="dxa"/>
            </w:tcMar>
            <w:vAlign w:val="center"/>
          </w:tcPr>
          <w:p>
            <w:pPr>
              <w:pStyle w:val="Normal"/>
              <w:bidi w:val="0"/>
              <w:jc w:val="left"/>
              <w:rPr/>
            </w:pPr>
            <w:r>
              <w:rPr/>
            </w:r>
          </w:p>
        </w:tc>
        <w:tc>
          <w:tcPr>
            <w:tcW w:w="893" w:type="dxa"/>
            <w:vMerge w:val="continue"/>
            <w:tcBorders>
              <w:right w:val="single" w:sz="8" w:space="0" w:color="000000"/>
            </w:tcBorders>
            <w:tcMar>
              <w:top w:w="0" w:type="dxa"/>
              <w:left w:w="0" w:type="dxa"/>
            </w:tcMar>
            <w:vAlign w:val="center"/>
          </w:tcPr>
          <w:p>
            <w:pPr>
              <w:pStyle w:val="Normal"/>
              <w:bidi w:val="0"/>
              <w:jc w:val="left"/>
              <w:rPr/>
            </w:pPr>
            <w:r>
              <w:rPr/>
            </w:r>
          </w:p>
        </w:tc>
        <w:tc>
          <w:tcPr>
            <w:tcW w:w="965" w:type="dxa"/>
            <w:vMerge w:val="continue"/>
            <w:tcBorders>
              <w:right w:val="single" w:sz="8" w:space="0" w:color="000000"/>
            </w:tcBorders>
            <w:tcMar>
              <w:top w:w="0" w:type="dxa"/>
              <w:left w:w="0" w:type="dxa"/>
            </w:tcMar>
            <w:vAlign w:val="center"/>
          </w:tcPr>
          <w:p>
            <w:pPr>
              <w:pStyle w:val="Normal"/>
              <w:bidi w:val="0"/>
              <w:jc w:val="left"/>
              <w:rPr/>
            </w:pPr>
            <w:r>
              <w:rPr/>
            </w:r>
          </w:p>
        </w:tc>
        <w:tc>
          <w:tcPr>
            <w:tcW w:w="1059" w:type="dxa"/>
            <w:tcBorders>
              <w:right w:val="single" w:sz="8" w:space="0" w:color="000000"/>
            </w:tcBorders>
            <w:tcMar>
              <w:top w:w="0" w:type="dxa"/>
              <w:left w:w="0" w:type="dxa"/>
            </w:tcMar>
            <w:vAlign w:val="center"/>
          </w:tcPr>
          <w:p>
            <w:pPr>
              <w:pStyle w:val="TableContents"/>
              <w:bidi w:val="0"/>
              <w:spacing w:before="0" w:after="283"/>
              <w:jc w:val="center"/>
              <w:rPr/>
            </w:pPr>
            <w:r>
              <w:rPr/>
              <w:t> </w:t>
            </w:r>
            <w:r>
              <w:rPr>
                <w:rFonts w:ascii="Times New Roman;Times;Serif" w:hAnsi="Times New Roman;Times;Serif"/>
                <w:b/>
                <w:sz w:val="20"/>
              </w:rPr>
              <w:t>OF VOTING</w:t>
              <w:br/>
              <w:t>SHARES</w:t>
            </w:r>
            <w:r>
              <w:rPr>
                <w:rFonts w:ascii="Times New Roman;Times;Serif" w:hAnsi="Times New Roman;Times;Serif"/>
                <w:sz w:val="20"/>
              </w:rPr>
              <w:t xml:space="preserve"> </w:t>
            </w:r>
          </w:p>
        </w:tc>
        <w:tc>
          <w:tcPr>
            <w:tcW w:w="105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 VOTES</w:t>
              <w:br/>
              <w:t>CAST</w:t>
            </w:r>
          </w:p>
        </w:tc>
        <w:tc>
          <w:tcPr>
            <w:tcW w:w="78" w:type="dxa"/>
            <w:tcBorders/>
            <w:tcMar>
              <w:top w:w="0" w:type="dxa"/>
              <w:left w:w="0" w:type="dxa"/>
              <w:right w:w="0" w:type="dxa"/>
            </w:tcMar>
            <w:vAlign w:val="center"/>
          </w:tcPr>
          <w:p>
            <w:pPr>
              <w:pStyle w:val="TableContents"/>
              <w:bidi w:val="0"/>
              <w:spacing w:before="0" w:after="283"/>
              <w:jc w:val="left"/>
              <w:rPr/>
            </w:pPr>
            <w:r>
              <w:rPr/>
              <w:t> </w:t>
            </w:r>
          </w:p>
        </w:tc>
      </w:tr>
      <w:tr>
        <w:trPr/>
        <w:tc>
          <w:tcPr>
            <w:tcW w:w="142" w:type="dxa"/>
            <w:vMerge w:val="restart"/>
            <w:tcBorders>
              <w:top w:val="single" w:sz="8" w:space="0" w:color="000000"/>
              <w:left w:val="single" w:sz="8" w:space="0" w:color="000000"/>
              <w:right w:val="single" w:sz="8" w:space="0" w:color="000000"/>
            </w:tcBorders>
            <w:tcMar>
              <w:top w:w="60" w:type="dxa"/>
              <w:left w:w="6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916" w:type="dxa"/>
            <w:vMerge w:val="restart"/>
            <w:tcBorders>
              <w:top w:val="single" w:sz="8" w:space="0" w:color="000000"/>
              <w:right w:val="single" w:sz="8" w:space="0" w:color="000000"/>
            </w:tcBorders>
            <w:tcMar>
              <w:top w:w="6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the Revised Supply of Products Framework Agreement with Sharpa, the Revised Annual Cap and the transactions contemplated thereunder be and are hereby generally and unconditionally approved, confirmed and ratified; and THAT any one or more of the director(s) of the Company be and is/are hereby authorised to sign, execute and deliver all such agreements, instruments, documents, including under seal where applicable, and do all such acts, matters and things as he/she/they may consider necessary, desirable or expedient in connection with the implementation of or giving effect to the Revised Supply of Products Framework Agreement, the Revised Annual Cap and the transactions contemplated thereunder.</w:t>
            </w:r>
          </w:p>
        </w:tc>
        <w:tc>
          <w:tcPr>
            <w:tcW w:w="1042" w:type="dxa"/>
            <w:tcBorders>
              <w:top w:val="single" w:sz="8" w:space="0" w:color="000000"/>
              <w:bottom w:val="single" w:sz="8" w:space="0" w:color="000000"/>
              <w:right w:val="single" w:sz="8" w:space="0" w:color="000000"/>
            </w:tcBorders>
            <w:tcMar>
              <w:top w:w="60" w:type="dxa"/>
              <w:left w:w="0" w:type="dxa"/>
              <w:bottom w:w="6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Ordinary Shares  </w:t>
            </w:r>
          </w:p>
        </w:tc>
        <w:tc>
          <w:tcPr>
            <w:tcW w:w="1055" w:type="dxa"/>
            <w:tcBorders>
              <w:top w:val="single" w:sz="8" w:space="0" w:color="000000"/>
              <w:bottom w:val="single" w:sz="8" w:space="0" w:color="000000"/>
              <w:right w:val="single" w:sz="8" w:space="0" w:color="000000"/>
            </w:tcBorders>
            <w:tcMar>
              <w:top w:w="60" w:type="dxa"/>
              <w:left w:w="0" w:type="dxa"/>
              <w:bottom w:w="60" w:type="dxa"/>
              <w:right w:w="60" w:type="dxa"/>
            </w:tcMar>
            <w:vAlign w:val="center"/>
          </w:tcPr>
          <w:p>
            <w:pPr>
              <w:pStyle w:val="TableContents"/>
              <w:bidi w:val="0"/>
              <w:spacing w:before="0" w:after="283"/>
              <w:jc w:val="center"/>
              <w:rPr/>
            </w:pPr>
            <w:r>
              <w:rPr/>
              <w:t xml:space="preserve">– </w:t>
            </w:r>
            <w:r>
              <w:rPr>
                <w:rFonts w:ascii="Times New Roman;Times;Serif" w:hAnsi="Times New Roman;Times;Serif"/>
                <w:sz w:val="20"/>
              </w:rPr>
              <w:br/>
              <w:t>(0.0000%)    </w:t>
            </w:r>
          </w:p>
        </w:tc>
        <w:tc>
          <w:tcPr>
            <w:tcW w:w="893" w:type="dxa"/>
            <w:tcBorders>
              <w:top w:val="single" w:sz="8" w:space="0" w:color="000000"/>
              <w:bottom w:val="single" w:sz="8" w:space="0" w:color="000000"/>
              <w:right w:val="single" w:sz="8" w:space="0" w:color="000000"/>
            </w:tcBorders>
            <w:tcMar>
              <w:top w:w="60" w:type="dxa"/>
              <w:left w:w="0" w:type="dxa"/>
              <w:bottom w:w="60" w:type="dxa"/>
              <w:right w:w="60" w:type="dxa"/>
            </w:tcMar>
            <w:vAlign w:val="center"/>
          </w:tcPr>
          <w:p>
            <w:pPr>
              <w:pStyle w:val="TableContents"/>
              <w:bidi w:val="0"/>
              <w:spacing w:before="0" w:after="283"/>
              <w:jc w:val="center"/>
              <w:rPr/>
            </w:pPr>
            <w:r>
              <w:rPr/>
              <w:t>–</w:t>
            </w:r>
            <w:r>
              <w:rPr>
                <w:rFonts w:ascii="Times New Roman;Times;Serif" w:hAnsi="Times New Roman;Times;Serif"/>
                <w:sz w:val="20"/>
              </w:rPr>
              <w:br/>
              <w:t>(0.0000%)</w:t>
            </w:r>
          </w:p>
        </w:tc>
        <w:tc>
          <w:tcPr>
            <w:tcW w:w="965" w:type="dxa"/>
            <w:tcBorders>
              <w:top w:val="single" w:sz="8" w:space="0" w:color="000000"/>
              <w:bottom w:val="single" w:sz="8" w:space="0" w:color="000000"/>
              <w:right w:val="single" w:sz="8" w:space="0" w:color="000000"/>
            </w:tcBorders>
            <w:tcMar>
              <w:top w:w="60" w:type="dxa"/>
              <w:left w:w="0" w:type="dxa"/>
              <w:bottom w:w="60" w:type="dxa"/>
              <w:right w:w="60" w:type="dxa"/>
            </w:tcMar>
            <w:vAlign w:val="center"/>
          </w:tcPr>
          <w:p>
            <w:pPr>
              <w:pStyle w:val="TableContents"/>
              <w:bidi w:val="0"/>
              <w:spacing w:before="0" w:after="283"/>
              <w:jc w:val="center"/>
              <w:rPr/>
            </w:pPr>
            <w:r>
              <w:rPr/>
              <w:t>–</w:t>
            </w:r>
            <w:r>
              <w:rPr>
                <w:rFonts w:ascii="Times New Roman;Times;Serif" w:hAnsi="Times New Roman;Times;Serif"/>
                <w:sz w:val="20"/>
              </w:rPr>
              <w:br/>
              <w:t>(–)</w:t>
            </w:r>
          </w:p>
        </w:tc>
        <w:tc>
          <w:tcPr>
            <w:tcW w:w="1059" w:type="dxa"/>
            <w:tcBorders>
              <w:top w:val="single" w:sz="8" w:space="0" w:color="000000"/>
              <w:bottom w:val="single" w:sz="8" w:space="0" w:color="000000"/>
              <w:right w:val="single" w:sz="8" w:space="0" w:color="000000"/>
            </w:tcBorders>
            <w:tcMar>
              <w:top w:w="60" w:type="dxa"/>
              <w:left w:w="0" w:type="dxa"/>
              <w:bottom w:w="60" w:type="dxa"/>
              <w:right w:w="60" w:type="dxa"/>
            </w:tcMar>
            <w:vAlign w:val="center"/>
          </w:tcPr>
          <w:p>
            <w:pPr>
              <w:pStyle w:val="TableContents"/>
              <w:bidi w:val="0"/>
              <w:spacing w:before="0" w:after="283"/>
              <w:jc w:val="center"/>
              <w:rPr/>
            </w:pPr>
            <w:r>
              <w:rPr/>
              <w:t>–</w:t>
            </w:r>
          </w:p>
        </w:tc>
        <w:tc>
          <w:tcPr>
            <w:tcW w:w="1055" w:type="dxa"/>
            <w:tcBorders>
              <w:top w:val="single" w:sz="8" w:space="0" w:color="000000"/>
              <w:bottom w:val="single" w:sz="8" w:space="0" w:color="000000"/>
              <w:right w:val="single" w:sz="8" w:space="0" w:color="000000"/>
            </w:tcBorders>
            <w:tcMar>
              <w:top w:w="60" w:type="dxa"/>
              <w:left w:w="0" w:type="dxa"/>
              <w:bottom w:w="60" w:type="dxa"/>
              <w:right w:w="60" w:type="dxa"/>
            </w:tcMar>
            <w:vAlign w:val="center"/>
          </w:tcPr>
          <w:p>
            <w:pPr>
              <w:pStyle w:val="TableContents"/>
              <w:bidi w:val="0"/>
              <w:spacing w:before="0" w:after="283"/>
              <w:jc w:val="center"/>
              <w:rPr/>
            </w:pPr>
            <w:r>
              <w:rPr/>
              <w:t>–</w:t>
            </w:r>
          </w:p>
        </w:tc>
        <w:tc>
          <w:tcPr>
            <w:tcW w:w="78" w:type="dxa"/>
            <w:tcBorders/>
            <w:tcMar>
              <w:top w:w="0" w:type="dxa"/>
              <w:left w:w="0" w:type="dxa"/>
              <w:right w:w="0" w:type="dxa"/>
            </w:tcMar>
            <w:vAlign w:val="center"/>
          </w:tcPr>
          <w:p>
            <w:pPr>
              <w:pStyle w:val="TableContents"/>
              <w:bidi w:val="0"/>
              <w:spacing w:before="0" w:after="283"/>
              <w:jc w:val="left"/>
              <w:rPr/>
            </w:pPr>
            <w:r>
              <w:rPr/>
              <w:t> </w:t>
            </w:r>
          </w:p>
        </w:tc>
      </w:tr>
      <w:tr>
        <w:trPr/>
        <w:tc>
          <w:tcPr>
            <w:tcW w:w="142" w:type="dxa"/>
            <w:vMerge w:val="continue"/>
            <w:tcBorders>
              <w:top w:val="single" w:sz="8" w:space="0" w:color="000000"/>
              <w:left w:val="single" w:sz="8" w:space="0" w:color="000000"/>
              <w:right w:val="single" w:sz="8" w:space="0" w:color="000000"/>
            </w:tcBorders>
            <w:tcMar>
              <w:top w:w="60" w:type="dxa"/>
              <w:left w:w="60" w:type="dxa"/>
              <w:right w:w="60" w:type="dxa"/>
            </w:tcMar>
            <w:vAlign w:val="center"/>
          </w:tcPr>
          <w:p>
            <w:pPr>
              <w:pStyle w:val="Normal"/>
              <w:bidi w:val="0"/>
              <w:jc w:val="left"/>
              <w:rPr/>
            </w:pPr>
            <w:r>
              <w:rPr/>
            </w:r>
          </w:p>
        </w:tc>
        <w:tc>
          <w:tcPr>
            <w:tcW w:w="3916" w:type="dxa"/>
            <w:vMerge w:val="continue"/>
            <w:tcBorders>
              <w:top w:val="single" w:sz="8" w:space="0" w:color="000000"/>
              <w:right w:val="single" w:sz="8" w:space="0" w:color="000000"/>
            </w:tcBorders>
            <w:tcMar>
              <w:top w:w="60" w:type="dxa"/>
              <w:left w:w="0" w:type="dxa"/>
              <w:right w:w="60" w:type="dxa"/>
            </w:tcMar>
            <w:vAlign w:val="center"/>
          </w:tcPr>
          <w:p>
            <w:pPr>
              <w:pStyle w:val="Normal"/>
              <w:bidi w:val="0"/>
              <w:jc w:val="left"/>
              <w:rPr/>
            </w:pPr>
            <w:r>
              <w:rPr/>
            </w:r>
          </w:p>
        </w:tc>
        <w:tc>
          <w:tcPr>
            <w:tcW w:w="1042" w:type="dxa"/>
            <w:tcBorders>
              <w:right w:val="single" w:sz="8"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Ordinary Shares</w:t>
            </w:r>
          </w:p>
        </w:tc>
        <w:tc>
          <w:tcPr>
            <w:tcW w:w="105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581,636,027</w:t>
              <w:br/>
              <w:t>(99.9796%)  </w:t>
            </w:r>
          </w:p>
        </w:tc>
        <w:tc>
          <w:tcPr>
            <w:tcW w:w="893"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118,872</w:t>
              <w:br/>
              <w:t>(0.0204%)  </w:t>
            </w:r>
          </w:p>
        </w:tc>
        <w:tc>
          <w:tcPr>
            <w:tcW w:w="96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140,352</w:t>
              <w:br/>
              <w:t>(–)</w:t>
            </w:r>
          </w:p>
        </w:tc>
        <w:tc>
          <w:tcPr>
            <w:tcW w:w="1059"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581,754,899</w:t>
            </w:r>
          </w:p>
        </w:tc>
        <w:tc>
          <w:tcPr>
            <w:tcW w:w="1055" w:type="dxa"/>
            <w:tcBorders>
              <w:right w:val="single" w:sz="8" w:space="0" w:color="000000"/>
            </w:tcBorders>
            <w:tcMar>
              <w:top w:w="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581,754,899</w:t>
            </w:r>
          </w:p>
        </w:tc>
        <w:tc>
          <w:tcPr>
            <w:tcW w:w="78" w:type="dxa"/>
            <w:tcBorders/>
            <w:tcMar>
              <w:top w:w="0" w:type="dxa"/>
              <w:left w:w="0" w:type="dxa"/>
              <w:right w:w="0" w:type="dxa"/>
            </w:tcMar>
            <w:vAlign w:val="center"/>
          </w:tcPr>
          <w:p>
            <w:pPr>
              <w:pStyle w:val="TableContents"/>
              <w:bidi w:val="0"/>
              <w:spacing w:before="0" w:after="283"/>
              <w:jc w:val="left"/>
              <w:rPr/>
            </w:pPr>
            <w:r>
              <w:rPr/>
              <w:t> </w:t>
            </w:r>
          </w:p>
        </w:tc>
      </w:tr>
      <w:tr>
        <w:trPr/>
        <w:tc>
          <w:tcPr>
            <w:tcW w:w="142" w:type="dxa"/>
            <w:vMerge w:val="continue"/>
            <w:tcBorders>
              <w:top w:val="single" w:sz="8" w:space="0" w:color="000000"/>
              <w:left w:val="single" w:sz="8" w:space="0" w:color="000000"/>
              <w:right w:val="single" w:sz="8" w:space="0" w:color="000000"/>
            </w:tcBorders>
            <w:tcMar>
              <w:top w:w="60" w:type="dxa"/>
              <w:left w:w="60" w:type="dxa"/>
              <w:right w:w="60" w:type="dxa"/>
            </w:tcMar>
            <w:vAlign w:val="center"/>
          </w:tcPr>
          <w:p>
            <w:pPr>
              <w:pStyle w:val="Normal"/>
              <w:bidi w:val="0"/>
              <w:jc w:val="left"/>
              <w:rPr/>
            </w:pPr>
            <w:r>
              <w:rPr/>
            </w:r>
          </w:p>
        </w:tc>
        <w:tc>
          <w:tcPr>
            <w:tcW w:w="3916" w:type="dxa"/>
            <w:vMerge w:val="continue"/>
            <w:tcBorders>
              <w:top w:val="single" w:sz="8" w:space="0" w:color="000000"/>
              <w:right w:val="single" w:sz="8" w:space="0" w:color="000000"/>
            </w:tcBorders>
            <w:tcMar>
              <w:top w:w="60" w:type="dxa"/>
              <w:left w:w="0" w:type="dxa"/>
              <w:right w:w="60" w:type="dxa"/>
            </w:tcMar>
            <w:vAlign w:val="center"/>
          </w:tcPr>
          <w:p>
            <w:pPr>
              <w:pStyle w:val="Normal"/>
              <w:bidi w:val="0"/>
              <w:jc w:val="left"/>
              <w:rPr/>
            </w:pPr>
            <w:r>
              <w:rPr/>
            </w:r>
          </w:p>
        </w:tc>
        <w:tc>
          <w:tcPr>
            <w:tcW w:w="1042" w:type="dxa"/>
            <w:tcBorders>
              <w:top w:val="single" w:sz="8" w:space="0" w:color="000000"/>
              <w:right w:val="single" w:sz="8" w:space="0" w:color="000000"/>
            </w:tcBorders>
            <w:tcMar>
              <w:top w:w="6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NUMBER</w:t>
              <w:br/>
              <w:t>(CLASS A &amp; CLASS B)</w:t>
            </w:r>
          </w:p>
        </w:tc>
        <w:tc>
          <w:tcPr>
            <w:tcW w:w="1055" w:type="dxa"/>
            <w:tcBorders>
              <w:top w:val="single" w:sz="8" w:space="0" w:color="000000"/>
              <w:right w:val="single" w:sz="8" w:space="0" w:color="000000"/>
            </w:tcBorders>
            <w:tcMar>
              <w:top w:w="6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581,636,027</w:t>
              <w:br/>
              <w:t xml:space="preserve">(99.9796%) </w:t>
            </w:r>
          </w:p>
        </w:tc>
        <w:tc>
          <w:tcPr>
            <w:tcW w:w="893" w:type="dxa"/>
            <w:tcBorders>
              <w:top w:val="single" w:sz="8" w:space="0" w:color="000000"/>
              <w:right w:val="single" w:sz="8" w:space="0" w:color="000000"/>
            </w:tcBorders>
            <w:tcMar>
              <w:top w:w="6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118,872</w:t>
              <w:br/>
              <w:t>(0.0204%)</w:t>
            </w:r>
          </w:p>
        </w:tc>
        <w:tc>
          <w:tcPr>
            <w:tcW w:w="965" w:type="dxa"/>
            <w:tcBorders>
              <w:top w:val="single" w:sz="8" w:space="0" w:color="000000"/>
              <w:right w:val="single" w:sz="8" w:space="0" w:color="000000"/>
            </w:tcBorders>
            <w:tcMar>
              <w:top w:w="6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140,352</w:t>
              <w:br/>
              <w:t>(–)</w:t>
            </w:r>
          </w:p>
        </w:tc>
        <w:tc>
          <w:tcPr>
            <w:tcW w:w="1059" w:type="dxa"/>
            <w:tcBorders>
              <w:top w:val="single" w:sz="8" w:space="0" w:color="000000"/>
              <w:right w:val="single" w:sz="8" w:space="0" w:color="000000"/>
            </w:tcBorders>
            <w:tcMar>
              <w:top w:w="6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581,754,899</w:t>
            </w:r>
          </w:p>
        </w:tc>
        <w:tc>
          <w:tcPr>
            <w:tcW w:w="1055" w:type="dxa"/>
            <w:tcBorders>
              <w:top w:val="single" w:sz="8" w:space="0" w:color="000000"/>
              <w:right w:val="single" w:sz="8" w:space="0" w:color="000000"/>
            </w:tcBorders>
            <w:tcMar>
              <w:top w:w="60" w:type="dxa"/>
              <w:left w:w="0" w:type="dxa"/>
              <w:right w:w="6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581,754,899</w:t>
            </w:r>
          </w:p>
        </w:tc>
        <w:tc>
          <w:tcPr>
            <w:tcW w:w="78" w:type="dxa"/>
            <w:tcBorders/>
            <w:tcMar>
              <w:top w:w="0" w:type="dxa"/>
              <w:left w:w="0" w:type="dxa"/>
              <w:right w:w="0" w:type="dxa"/>
            </w:tcMar>
            <w:vAlign w:val="center"/>
          </w:tcPr>
          <w:p>
            <w:pPr>
              <w:pStyle w:val="TableContents"/>
              <w:bidi w:val="0"/>
              <w:spacing w:before="0" w:after="283"/>
              <w:jc w:val="left"/>
              <w:rPr/>
            </w:pPr>
            <w:r>
              <w:rPr/>
              <w:t> </w:t>
            </w:r>
          </w:p>
        </w:tc>
      </w:tr>
    </w:tbl>
    <w:tbl>
      <w:tblPr>
        <w:tblW w:w="10205" w:type="dxa"/>
        <w:jc w:val="left"/>
        <w:tblInd w:w="-10" w:type="dxa"/>
        <w:tblLayout w:type="fixed"/>
        <w:tblCellMar>
          <w:top w:w="0" w:type="dxa"/>
          <w:left w:w="60" w:type="dxa"/>
          <w:bottom w:w="60" w:type="dxa"/>
          <w:right w:w="0" w:type="dxa"/>
        </w:tblCellMar>
      </w:tblPr>
      <w:tblGrid>
        <w:gridCol w:w="75"/>
        <w:gridCol w:w="10055"/>
        <w:gridCol w:w="75"/>
      </w:tblGrid>
      <w:tr>
        <w:trPr/>
        <w:tc>
          <w:tcPr>
            <w:tcW w:w="75" w:type="dxa"/>
            <w:tcBorders>
              <w:left w:val="single" w:sz="8" w:space="0" w:color="000000"/>
              <w:bottom w:val="single" w:sz="8" w:space="0" w:color="000000"/>
            </w:tcBorders>
            <w:vAlign w:val="center"/>
          </w:tcPr>
          <w:p>
            <w:pPr>
              <w:pStyle w:val="TableContents"/>
              <w:bidi w:val="0"/>
              <w:spacing w:before="0" w:after="283"/>
              <w:jc w:val="left"/>
              <w:rPr/>
            </w:pPr>
            <w:r>
              <w:rPr/>
              <w:t> </w:t>
            </w:r>
          </w:p>
        </w:tc>
        <w:tc>
          <w:tcPr>
            <w:tcW w:w="10055" w:type="dxa"/>
            <w:tcBorders>
              <w:top w:val="single" w:sz="8" w:space="0" w:color="000000"/>
              <w:left w:val="single" w:sz="8" w:space="0" w:color="000000"/>
              <w:bottom w:val="single" w:sz="8" w:space="0" w:color="000000"/>
              <w:right w:val="single" w:sz="8" w:space="0" w:color="000000"/>
            </w:tcBorders>
            <w:tcMar>
              <w:top w:w="60" w:type="dxa"/>
              <w:right w:w="60" w:type="dxa"/>
            </w:tcMar>
            <w:vAlign w:val="center"/>
          </w:tcPr>
          <w:p>
            <w:pPr>
              <w:pStyle w:val="TableContents"/>
              <w:bidi w:val="0"/>
              <w:spacing w:before="0" w:after="283"/>
              <w:jc w:val="both"/>
              <w:rPr>
                <w:sz w:val="20"/>
              </w:rPr>
            </w:pPr>
            <w:r>
              <w:rPr>
                <w:sz w:val="20"/>
              </w:rPr>
              <w:t>The resolution has been duly passed as an ordinary resolution with a simple majority of valid votes held by Shareholders (including proxies) attending the EGM cast in favour thereof.</w:t>
            </w:r>
          </w:p>
        </w:tc>
        <w:tc>
          <w:tcPr>
            <w:tcW w:w="75" w:type="dxa"/>
            <w:tcBorders/>
            <w:tcMar>
              <w:left w:w="0" w:type="dxa"/>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According to the laws of the Cayman Islands, the Shares in abstention shall not be counted as votes cast at the EGM.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registrar in Hong Kong, Tricor Investor Services Limited, acted as the scrutineer for the vote-taking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Directors attended the EGM in person or via electronic means: Dr. Yifan Li, Dr. Kai Sun, Mr. Shaoqing Xiang, Ms. Cailian Yang, Ms. Yi Zhang, Mr. Jia Ren and Dr. Hui Wang.</w:t>
      </w:r>
    </w:p>
    <w:p>
      <w:pPr>
        <w:pStyle w:val="TextBody"/>
        <w:bidi w:val="0"/>
        <w:spacing w:before="0" w:after="0"/>
        <w:ind w:left="0" w:right="0" w:hanging="0"/>
        <w:jc w:val="left"/>
        <w:rPr>
          <w:caps w:val="false"/>
          <w:smallCaps w:val="false"/>
        </w:rPr>
      </w:pPr>
      <w:r>
        <w:rPr>
          <w:caps w:val="false"/>
          <w:smallCaps w:val="false"/>
        </w:rPr>
        <w:t> </w:t>
      </w:r>
    </w:p>
    <w:tbl>
      <w:tblPr>
        <w:tblW w:w="3980" w:type="dxa"/>
        <w:jc w:val="left"/>
        <w:tblInd w:w="0" w:type="dxa"/>
        <w:tblLayout w:type="fixed"/>
        <w:tblCellMar>
          <w:top w:w="0" w:type="dxa"/>
          <w:left w:w="0" w:type="dxa"/>
          <w:bottom w:w="0" w:type="dxa"/>
          <w:right w:w="0" w:type="dxa"/>
        </w:tblCellMar>
      </w:tblPr>
      <w:tblGrid>
        <w:gridCol w:w="75"/>
        <w:gridCol w:w="3905"/>
      </w:tblGrid>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Yifan Li</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Executive Director and</w:t>
            </w:r>
          </w:p>
        </w:tc>
      </w:tr>
      <w:tr>
        <w:trPr/>
        <w:tc>
          <w:tcPr>
            <w:tcW w:w="75"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(i) Dr. Yifan Li, Dr. Kai Sun, Mr. Shaoqing Xiang and Ms. Cailian Yang as the executive Directors; and (ii) Ms. Yi Zhang, Mr. Jia Ren and Dr. Hui Wang as the independent non-executive Directors.</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55"/>
        <w:gridCol w:w="2975"/>
      </w:tblGrid>
      <w:tr>
        <w:trPr/>
        <w:tc>
          <w:tcPr>
            <w:tcW w:w="15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both"/>
              <w:rPr>
                <w:i/>
              </w:rPr>
            </w:pPr>
            <w:r>
              <w:rPr>
                <w:i/>
              </w:rPr>
              <w:t>For identification purpose only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1207</Words>
  <Characters>6135</Characters>
  <CharactersWithSpaces>7352</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