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001-41611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5"/>
          <w:szCs w:val="25"/>
          <w:b w:val="1"/>
          <w:bCs w:val="1"/>
          <w:color w:val="auto"/>
        </w:rPr>
        <w:t>Hesai Group</w:t>
      </w:r>
    </w:p>
    <w:p>
      <w:pPr>
        <w:spacing w:after="0" w:line="23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color w:val="auto"/>
        </w:rPr>
        <w:t>10th Floor, Building A</w:t>
      </w:r>
    </w:p>
    <w:p>
      <w:pPr>
        <w:spacing w:after="0" w:line="2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No. 658 Zhaohua Road, Changning District</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color w:val="auto"/>
        </w:rPr>
        <w:t>Shanghai 200050</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2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71" w:right="1440" w:bottom="1440" w:gutter="0" w:footer="0" w:header="0"/>
        </w:sectPr>
      </w:pPr>
    </w:p>
    <w:bookmarkStart w:id="1" w:name="page2"/>
    <w:bookmarkEnd w:id="1"/>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99.1 Announcement—Grant of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20" w:firstLine="5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/s/ Yifan Li</w:t>
            </w:r>
          </w:p>
        </w:tc>
      </w:tr>
      <w:tr>
        <w:trPr>
          <w:trHeight w:val="191"/>
        </w:trPr>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Yifan Li</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123190</wp:posOffset>
            </wp:positionV>
            <wp:extent cx="1885950"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59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31" w:lineRule="exact"/>
        <w:rPr>
          <w:sz w:val="20"/>
          <w:szCs w:val="20"/>
          <w:color w:val="auto"/>
        </w:rPr>
      </w:pPr>
    </w:p>
    <w:p>
      <w:pPr>
        <w:jc w:val="center"/>
        <w:spacing w:after="0" w:line="219" w:lineRule="exact"/>
        <w:rPr>
          <w:sz w:val="20"/>
          <w:szCs w:val="20"/>
          <w:color w:val="auto"/>
        </w:rPr>
      </w:pPr>
      <w:r>
        <w:rPr>
          <w:rFonts w:ascii="PMingLiU" w:cs="PMingLiU" w:eastAsia="PMingLiU" w:hAnsi="PMingLiU"/>
          <w:sz w:val="18"/>
          <w:szCs w:val="18"/>
          <w:color w:val="auto"/>
          <w:highlight w:val="black"/>
        </w:rPr>
        <w:t>禾 賽</w:t>
      </w:r>
      <w:r>
        <w:rPr>
          <w:rFonts w:ascii="Times New Roman" w:cs="Times New Roman" w:eastAsia="Times New Roman" w:hAnsi="Times New Roman"/>
          <w:sz w:val="18"/>
          <w:szCs w:val="18"/>
          <w:b w:val="1"/>
          <w:bCs w:val="1"/>
          <w:color w:val="auto"/>
          <w:highlight w:val="black"/>
        </w:rPr>
        <w:t xml:space="preserve">  </w:t>
      </w:r>
      <w:r>
        <w:rPr>
          <w:rFonts w:ascii="PMingLiU" w:cs="PMingLiU" w:eastAsia="PMingLiU" w:hAnsi="PMingLiU"/>
          <w:sz w:val="18"/>
          <w:szCs w:val="18"/>
          <w:color w:val="auto"/>
          <w:highlight w:val="black"/>
        </w:rPr>
        <w:t>科</w:t>
      </w:r>
      <w:r>
        <w:rPr>
          <w:rFonts w:ascii="Times New Roman" w:cs="Times New Roman" w:eastAsia="Times New Roman" w:hAnsi="Times New Roman"/>
          <w:sz w:val="18"/>
          <w:szCs w:val="18"/>
          <w:b w:val="1"/>
          <w:bCs w:val="1"/>
          <w:color w:val="auto"/>
          <w:highlight w:val="black"/>
        </w:rPr>
        <w:t xml:space="preserve">  </w:t>
      </w:r>
      <w:r>
        <w:rPr>
          <w:rFonts w:ascii="PMingLiU" w:cs="PMingLiU" w:eastAsia="PMingLiU" w:hAnsi="PMingLiU"/>
          <w:sz w:val="18"/>
          <w:szCs w:val="18"/>
          <w:color w:val="auto"/>
          <w:highlight w:val="black"/>
        </w:rPr>
        <w:t>技</w:t>
      </w:r>
      <w:r>
        <w:rPr>
          <w:rFonts w:ascii="Times New Roman" w:cs="Times New Roman" w:eastAsia="Times New Roman" w:hAnsi="Times New Roman"/>
          <w:sz w:val="18"/>
          <w:szCs w:val="18"/>
          <w:b w:val="1"/>
          <w:bCs w:val="1"/>
          <w:color w:val="auto"/>
          <w:highlight w:val="black"/>
        </w:rPr>
        <w:t xml:space="preserve"> </w:t>
      </w:r>
      <w:r>
        <w:rPr>
          <w:rFonts w:ascii="Times New Roman" w:cs="Times New Roman" w:eastAsia="Times New Roman" w:hAnsi="Times New Roman"/>
          <w:sz w:val="18"/>
          <w:szCs w:val="18"/>
          <w:b w:val="1"/>
          <w:bCs w:val="1"/>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(HKEX Stock Code: 2525)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Stock Ticker: HSAI)</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OF AWARDS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This announcement is made by the Company pursuant to Rules 17.06A, 17.06B and 17.06C of the Listing Rules.</w:t>
      </w:r>
    </w:p>
    <w:p>
      <w:pPr>
        <w:spacing w:after="0" w:line="221" w:lineRule="exact"/>
        <w:rPr>
          <w:sz w:val="20"/>
          <w:szCs w:val="20"/>
          <w:color w:val="auto"/>
        </w:rPr>
      </w:pPr>
    </w:p>
    <w:p>
      <w:pPr>
        <w:jc w:val="both"/>
        <w:ind w:left="20"/>
        <w:spacing w:after="0" w:line="262" w:lineRule="auto"/>
        <w:rPr>
          <w:sz w:val="20"/>
          <w:szCs w:val="20"/>
          <w:color w:val="auto"/>
        </w:rPr>
      </w:pPr>
      <w:r>
        <w:rPr>
          <w:rFonts w:ascii="Times New Roman" w:cs="Times New Roman" w:eastAsia="Times New Roman" w:hAnsi="Times New Roman"/>
          <w:sz w:val="18"/>
          <w:szCs w:val="18"/>
          <w:color w:val="auto"/>
        </w:rPr>
        <w:t>On May 20, 2026, the Company granted an aggregate of 139,120 awards in the form of RSUs (the “</w:t>
      </w: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color w:val="auto"/>
        </w:rPr>
        <w:t>”) (representing the same number of Class B Ordinary Shares) to 37 employees of the Group (the “</w:t>
      </w:r>
      <w:r>
        <w:rPr>
          <w:rFonts w:ascii="Times New Roman" w:cs="Times New Roman" w:eastAsia="Times New Roman" w:hAnsi="Times New Roman"/>
          <w:sz w:val="18"/>
          <w:szCs w:val="18"/>
          <w:b w:val="1"/>
          <w:bCs w:val="1"/>
          <w:color w:val="auto"/>
        </w:rPr>
        <w:t>Grants</w:t>
      </w:r>
      <w:r>
        <w:rPr>
          <w:rFonts w:ascii="Times New Roman" w:cs="Times New Roman" w:eastAsia="Times New Roman" w:hAnsi="Times New Roman"/>
          <w:sz w:val="18"/>
          <w:szCs w:val="18"/>
          <w:color w:val="auto"/>
        </w:rPr>
        <w:t>”) under the 2021 Plan, subject to respective acceptance by the Grantees. The Grants are subject to the terms and conditions of the 2021 Plan and the award agreements entered into or to be entered into between the Company and each of the Grantees.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DETAILS OF THE GRANTS</w:t>
            </w:r>
          </w:p>
        </w:tc>
        <w:tc>
          <w:tcPr>
            <w:tcW w:w="300" w:type="dxa"/>
            <w:vAlign w:val="bottom"/>
          </w:tcPr>
          <w:p>
            <w:pPr>
              <w:spacing w:after="0"/>
              <w:rPr>
                <w:sz w:val="20"/>
                <w:szCs w:val="20"/>
                <w:color w:val="auto"/>
              </w:rPr>
            </w:pPr>
          </w:p>
        </w:tc>
        <w:tc>
          <w:tcPr>
            <w:tcW w:w="7720" w:type="dxa"/>
            <w:vAlign w:val="bottom"/>
          </w:tcPr>
          <w:p>
            <w:pPr>
              <w:spacing w:after="0"/>
              <w:rPr>
                <w:sz w:val="20"/>
                <w:szCs w:val="20"/>
                <w:color w:val="auto"/>
              </w:rPr>
            </w:pP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20, 2026</w:t>
            </w: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Grantees</w:t>
            </w: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37 employees of the Group, all of whom are eligible participants pursuant to the 2021 Plan</w:t>
            </w: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Awards granted</w:t>
            </w: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A total of 139,120 RSUs were granted to 37 employees of the Group</w:t>
            </w:r>
          </w:p>
        </w:tc>
      </w:tr>
      <w:tr>
        <w:trPr>
          <w:trHeight w:val="410"/>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Aggregate number of Class B Ordinary</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139,120</w:t>
            </w:r>
          </w:p>
        </w:tc>
      </w:tr>
      <w:tr>
        <w:trPr>
          <w:trHeight w:val="238"/>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Shares underlying the Awards</w:t>
            </w:r>
          </w:p>
        </w:tc>
        <w:tc>
          <w:tcPr>
            <w:tcW w:w="300" w:type="dxa"/>
            <w:vAlign w:val="bottom"/>
          </w:tcPr>
          <w:p>
            <w:pPr>
              <w:spacing w:after="0"/>
              <w:rPr>
                <w:sz w:val="20"/>
                <w:szCs w:val="20"/>
                <w:color w:val="auto"/>
              </w:rPr>
            </w:pPr>
          </w:p>
        </w:tc>
        <w:tc>
          <w:tcPr>
            <w:tcW w:w="7720" w:type="dxa"/>
            <w:vAlign w:val="bottom"/>
          </w:tcPr>
          <w:p>
            <w:pPr>
              <w:spacing w:after="0"/>
              <w:rPr>
                <w:sz w:val="20"/>
                <w:szCs w:val="20"/>
                <w:color w:val="auto"/>
              </w:rPr>
            </w:pP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price of the Awards</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Nil</w:t>
            </w:r>
          </w:p>
        </w:tc>
      </w:tr>
      <w:tr>
        <w:trPr>
          <w:trHeight w:val="648"/>
        </w:trPr>
        <w:tc>
          <w:tcPr>
            <w:tcW w:w="3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jc w:val="right"/>
              <w:ind w:right="551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333" w:right="339" w:bottom="1440" w:gutter="0" w:footer="0" w:header="0"/>
        </w:sectPr>
      </w:pPr>
    </w:p>
    <w:bookmarkStart w:id="4" w:name="page5"/>
    <w:bookmarkEnd w:id="4"/>
    <w:p>
      <w:pPr>
        <w:ind w:left="180" w:hanging="161"/>
        <w:spacing w:after="0" w:line="317" w:lineRule="auto"/>
        <w:rPr>
          <w:sz w:val="20"/>
          <w:szCs w:val="20"/>
          <w:color w:val="auto"/>
        </w:rPr>
      </w:pPr>
      <w:r>
        <w:rPr>
          <w:rFonts w:ascii="Times New Roman" w:cs="Times New Roman" w:eastAsia="Times New Roman" w:hAnsi="Times New Roman"/>
          <w:sz w:val="17"/>
          <w:szCs w:val="17"/>
          <w:b w:val="1"/>
          <w:bCs w:val="1"/>
          <w:color w:val="auto"/>
        </w:rPr>
        <w:t>Market price of the Class B Ordinary Shares or ADSs on the date of the Grants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HK$158.5 per Class B Ordinary Share, for Class B Ordinary Shares traded on the Stock Exchange on May 20, 2026 (Hong Kong Time)</w:t>
      </w:r>
    </w:p>
    <w:p>
      <w:pPr>
        <w:spacing w:after="0" w:line="161" w:lineRule="exact"/>
        <w:rPr>
          <w:sz w:val="20"/>
          <w:szCs w:val="20"/>
          <w:color w:val="auto"/>
        </w:rPr>
      </w:pPr>
    </w:p>
    <w:p>
      <w:pPr>
        <w:sectPr>
          <w:pgSz w:w="11900" w:h="16838" w:orient="portrait"/>
          <w:cols w:equalWidth="0" w:num="3">
            <w:col w:w="3340" w:space="40"/>
            <w:col w:w="60" w:space="180"/>
            <w:col w:w="7620"/>
          </w:cols>
          <w:pgMar w:left="320" w:top="900" w:right="339" w:bottom="1440" w:gutter="0" w:footer="0" w:header="0"/>
        </w:sectPr>
      </w:pPr>
    </w:p>
    <w:p>
      <w:pPr>
        <w:ind w:left="3620"/>
        <w:spacing w:after="0" w:line="282" w:lineRule="auto"/>
        <w:rPr>
          <w:sz w:val="20"/>
          <w:szCs w:val="20"/>
          <w:color w:val="auto"/>
        </w:rPr>
      </w:pPr>
      <w:r>
        <w:rPr>
          <w:rFonts w:ascii="Times New Roman" w:cs="Times New Roman" w:eastAsia="Times New Roman" w:hAnsi="Times New Roman"/>
          <w:sz w:val="18"/>
          <w:szCs w:val="18"/>
          <w:color w:val="auto"/>
        </w:rPr>
        <w:t>US$20.025 per ADS, for ADSs traded on NASDAQ on May 19, 2026 (U.S. Eastern Time), being the trading day on NASDAQ immediately preceding the date of the Grants</w:t>
      </w:r>
    </w:p>
    <w:p>
      <w:pPr>
        <w:sectPr>
          <w:pgSz w:w="11900" w:h="16838" w:orient="portrait"/>
          <w:cols w:equalWidth="0" w:num="1">
            <w:col w:w="11240"/>
          </w:cols>
          <w:pgMar w:left="320" w:top="900" w:right="3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Vesting period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Awards shall vest over four years in four equal portions on each of the first, second, third and fourth anniversary of the vesting commencement date as specified in the award agreement.</w:t>
      </w:r>
    </w:p>
    <w:p>
      <w:pPr>
        <w:spacing w:after="0" w:line="158" w:lineRule="exact"/>
        <w:rPr>
          <w:sz w:val="20"/>
          <w:szCs w:val="20"/>
          <w:color w:val="auto"/>
        </w:rPr>
      </w:pPr>
    </w:p>
    <w:p>
      <w:pPr>
        <w:sectPr>
          <w:pgSz w:w="11900" w:h="16838" w:orient="portrait"/>
          <w:cols w:equalWidth="0" w:num="3">
            <w:col w:w="2660" w:space="720"/>
            <w:col w:w="60" w:space="180"/>
            <w:col w:w="762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Performance target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vesting of Awards under the Grants is not subject to any performance target.</w:t>
      </w:r>
    </w:p>
    <w:p>
      <w:pPr>
        <w:spacing w:after="0" w:line="211" w:lineRule="exact"/>
        <w:rPr>
          <w:sz w:val="20"/>
          <w:szCs w:val="20"/>
          <w:color w:val="auto"/>
        </w:rPr>
      </w:pPr>
    </w:p>
    <w:p>
      <w:pPr>
        <w:sectPr>
          <w:pgSz w:w="11900" w:h="16838" w:orient="portrait"/>
          <w:cols w:equalWidth="0" w:num="3">
            <w:col w:w="2660" w:space="720"/>
            <w:col w:w="60" w:space="180"/>
            <w:col w:w="7620"/>
          </w:cols>
          <w:pgMar w:left="320" w:top="900"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mechanism</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any termination of employment or service during the applicable restriction period, Awards that are at that time unvested shall be forfeited or repurchased in accordance with the respective award agreements. In addition, if the termination of employment or service is for cause as set out in the section headed “Statutory and General Information – D. Share Incentive Plan – 1. The 2021 Plan – (i) Termination for Cause” in Appendix IV to the prospectus of the Company dated September 8, 2025, Awards that are at that time vested shall also be forfeited in accordance with the respective award agreements.</w:t>
      </w:r>
    </w:p>
    <w:p>
      <w:pPr>
        <w:spacing w:after="0" w:line="189" w:lineRule="exact"/>
        <w:rPr>
          <w:sz w:val="20"/>
          <w:szCs w:val="20"/>
          <w:color w:val="auto"/>
        </w:rPr>
      </w:pPr>
    </w:p>
    <w:p>
      <w:pPr>
        <w:sectPr>
          <w:pgSz w:w="11900" w:h="16838" w:orient="portrait"/>
          <w:cols w:equalWidth="0" w:num="3">
            <w:col w:w="2660" w:space="720"/>
            <w:col w:w="60" w:space="180"/>
            <w:col w:w="7620"/>
          </w:cols>
          <w:pgMar w:left="320" w:top="900"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arrangements for the Company or any of its subsidiaries to provide financial assistance to the Grantees to facilitate the purchase of the RSUs granted under the 2021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RULES IMPLICATIONS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Board (including all the independent non-executive Directors) is of the view that all Grants are fair and reasonable and in the best interests of the Company and the Shareholders as a whole.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performance targets attached to the RSUs for the Grants set out above. The Compensation Committee the view that the Grants to the Grantees without performance targets are market competitive, consistent with the Company’s customary practice and remuneration policies, and align with the purpose of the 2021 Plan.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Save as disclosed above and to the best of the Directors’ knowledge, information and belief having made all reasonable enquiries, as at the date of the Grants, none of the Grantees is: (i) a Director, a chief executive, a substantial shareholder of the Company or an associate of any of them; (ii) a participant with awards granted and to be granted exceeding the 1% individual limit under Rule 17.03D of the Listing Rules; or (iii) a related entity participant or service provider with awards granted and to be granted exceeding 0.1% of the total issued shares (excluding treasury shares) of the Company in any 12-month period up to and including the date of the Grants.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NUMBER OF CLASS B ORDINARY SHARES AVAILABLE FOR FUTURE GRANTS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Awards will be satisfied using the Class B Ordinary Shares (or equivalent ADSs) issued and/ or to be issued to the Depositary for bulk issuance of ADSs reserved for future issuances upon the exercise or vesting of awards granted under the 2021 Plan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As at the date of this announcement and following the Grants, 13,818,511 underlying Class B Ordinary Shares remain available for future grants under the plan limit, and the consultants sublimit remains unchanged at 750,504 underlying Class B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GRANTS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the Grants is to promote the success and enhance the value of the Company by linking the personal interests of the Grantees to those of the Shareholders and by providing such Grantees with an incentive for outstanding performance to generate superior returns to the Shareholders. The Board is of the view that Grants serve as effective means to recognize and reward the Grantees for their contribution to the Group, assist with talent retention, while fostering a stronger sense of commitment for the Grantees to drive the future growth and long-term development of the Group.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announcement, the following expressions shall have the following meanings unless the context requires otherwise: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 Plan”</w:t>
            </w:r>
          </w:p>
        </w:tc>
        <w:tc>
          <w:tcPr>
            <w:tcW w:w="8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share incentive plan of our Company adopted in June 2021, as amended from time to time</w:t>
            </w:r>
          </w:p>
        </w:tc>
      </w:tr>
      <w:tr>
        <w:trPr>
          <w:trHeight w:val="432"/>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“ADS(s)”</w:t>
            </w:r>
          </w:p>
        </w:tc>
        <w:tc>
          <w:tcPr>
            <w:tcW w:w="8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American Depositary Share(s), each representing one Class B Ordinary Share</w:t>
            </w:r>
          </w:p>
        </w:tc>
      </w:tr>
      <w:tr>
        <w:trPr>
          <w:trHeight w:val="432"/>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“associate”</w:t>
            </w:r>
          </w:p>
        </w:tc>
        <w:tc>
          <w:tcPr>
            <w:tcW w:w="8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has the meaning ascribed to it under the Listing Rules</w:t>
            </w:r>
          </w:p>
        </w:tc>
      </w:tr>
      <w:tr>
        <w:trPr>
          <w:trHeight w:val="432"/>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w:t>
            </w:r>
          </w:p>
        </w:tc>
        <w:tc>
          <w:tcPr>
            <w:tcW w:w="8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board of Directors</w:t>
            </w:r>
          </w:p>
        </w:tc>
      </w:tr>
      <w:tr>
        <w:trPr>
          <w:trHeight w:val="414"/>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B Ordinary Share(s)”</w:t>
            </w:r>
          </w:p>
        </w:tc>
        <w:tc>
          <w:tcPr>
            <w:tcW w:w="8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class B ordinary shares of the share capital of the Company with a par value of US$0.0001 each, conferring a</w:t>
            </w:r>
          </w:p>
        </w:tc>
      </w:tr>
      <w:tr>
        <w:trPr>
          <w:trHeight w:val="216"/>
        </w:trPr>
        <w:tc>
          <w:tcPr>
            <w:tcW w:w="2680" w:type="dxa"/>
            <w:vAlign w:val="bottom"/>
          </w:tcPr>
          <w:p>
            <w:pPr>
              <w:spacing w:after="0"/>
              <w:rPr>
                <w:sz w:val="18"/>
                <w:szCs w:val="18"/>
                <w:color w:val="auto"/>
              </w:rPr>
            </w:pPr>
          </w:p>
        </w:tc>
        <w:tc>
          <w:tcPr>
            <w:tcW w:w="8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holder of a Class B Ordinary Share one vote per share on any resolution tabled at the Company’s general</w:t>
            </w:r>
          </w:p>
        </w:tc>
      </w:tr>
      <w:tr>
        <w:trPr>
          <w:trHeight w:val="234"/>
        </w:trPr>
        <w:tc>
          <w:tcPr>
            <w:tcW w:w="2680" w:type="dxa"/>
            <w:vAlign w:val="bottom"/>
          </w:tcPr>
          <w:p>
            <w:pPr>
              <w:spacing w:after="0"/>
              <w:rPr>
                <w:sz w:val="20"/>
                <w:szCs w:val="20"/>
                <w:color w:val="auto"/>
              </w:rPr>
            </w:pPr>
          </w:p>
        </w:tc>
        <w:tc>
          <w:tcPr>
            <w:tcW w:w="8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meetings</w:t>
            </w:r>
          </w:p>
        </w:tc>
      </w:tr>
      <w:tr>
        <w:trPr>
          <w:trHeight w:val="432"/>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85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Hesai Group, an exempted company with limited liability incorporated in the Cayman Islands on April 21, 2021</w:t>
            </w:r>
          </w:p>
        </w:tc>
      </w:tr>
      <w:tr>
        <w:trPr>
          <w:trHeight w:val="432"/>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8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compensation committee of the Board</w:t>
            </w:r>
          </w:p>
        </w:tc>
      </w:tr>
      <w:tr>
        <w:trPr>
          <w:trHeight w:val="432"/>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“Depositary”</w:t>
            </w:r>
          </w:p>
        </w:tc>
        <w:tc>
          <w:tcPr>
            <w:tcW w:w="8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Deutsche Bank Trust Company Americas</w:t>
            </w:r>
          </w:p>
        </w:tc>
      </w:tr>
      <w:tr>
        <w:trPr>
          <w:trHeight w:val="432"/>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8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director(s) of our Company</w:t>
            </w:r>
          </w:p>
        </w:tc>
      </w:tr>
      <w:tr>
        <w:trPr>
          <w:trHeight w:val="648"/>
        </w:trPr>
        <w:tc>
          <w:tcPr>
            <w:tcW w:w="268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“Grantee(s)”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grantee(s) being granted the RSU awards under the 2021 Plan, as set out in the section headed “Details of the Grants – Grantees” in this announcement</w:t>
      </w:r>
    </w:p>
    <w:p>
      <w:pPr>
        <w:spacing w:after="0" w:line="158" w:lineRule="exact"/>
        <w:rPr>
          <w:sz w:val="20"/>
          <w:szCs w:val="20"/>
          <w:color w:val="auto"/>
        </w:rPr>
      </w:pPr>
    </w:p>
    <w:p>
      <w:pPr>
        <w:sectPr>
          <w:pgSz w:w="11900" w:h="16838" w:orient="portrait"/>
          <w:cols w:equalWidth="0" w:num="2">
            <w:col w:w="2440" w:space="720"/>
            <w:col w:w="808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Company and its subsidiaries</w:t>
      </w:r>
    </w:p>
    <w:p>
      <w:pPr>
        <w:spacing w:after="0" w:line="207" w:lineRule="exact"/>
        <w:rPr>
          <w:sz w:val="20"/>
          <w:szCs w:val="20"/>
          <w:color w:val="auto"/>
        </w:rPr>
      </w:pPr>
    </w:p>
    <w:p>
      <w:pPr>
        <w:sectPr>
          <w:pgSz w:w="11900" w:h="16838" w:orient="portrait"/>
          <w:cols w:equalWidth="0" w:num="2">
            <w:col w:w="2440" w:space="720"/>
            <w:col w:w="808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Hong Kong dollars, the lawful currency of Hong Kong</w:t>
      </w:r>
    </w:p>
    <w:p>
      <w:pPr>
        <w:spacing w:after="0" w:line="207" w:lineRule="exact"/>
        <w:rPr>
          <w:sz w:val="20"/>
          <w:szCs w:val="20"/>
          <w:color w:val="auto"/>
        </w:rPr>
      </w:pPr>
    </w:p>
    <w:p>
      <w:pPr>
        <w:sectPr>
          <w:pgSz w:w="11900" w:h="16838" w:orient="portrait"/>
          <w:cols w:equalWidth="0" w:num="2">
            <w:col w:w="2440" w:space="720"/>
            <w:col w:w="808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2240"/>
        <w:spacing w:after="0"/>
        <w:rPr>
          <w:sz w:val="20"/>
          <w:szCs w:val="20"/>
          <w:color w:val="auto"/>
        </w:rPr>
      </w:pPr>
      <w:r>
        <w:rPr>
          <w:rFonts w:ascii="Times New Roman" w:cs="Times New Roman" w:eastAsia="Times New Roman" w:hAnsi="Times New Roman"/>
          <w:sz w:val="17"/>
          <w:szCs w:val="17"/>
          <w:color w:val="auto"/>
        </w:rPr>
        <w:t>the Hong Kong Special Administrative Region of the People’s Republic of China</w:t>
      </w:r>
    </w:p>
    <w:p>
      <w:pPr>
        <w:spacing w:after="0" w:line="207" w:lineRule="exact"/>
        <w:rPr>
          <w:sz w:val="20"/>
          <w:szCs w:val="20"/>
          <w:color w:val="auto"/>
        </w:rPr>
      </w:pPr>
    </w:p>
    <w:p>
      <w:pPr>
        <w:sectPr>
          <w:pgSz w:w="11900" w:h="16838" w:orient="portrait"/>
          <w:cols w:equalWidth="0" w:num="2">
            <w:col w:w="2440" w:space="720"/>
            <w:col w:w="808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Rules”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Rules Governing the Listing of Securities on The Stock Exchange of Hong Kong Limited</w:t>
      </w:r>
    </w:p>
    <w:p>
      <w:pPr>
        <w:spacing w:after="0" w:line="207" w:lineRule="exact"/>
        <w:rPr>
          <w:sz w:val="20"/>
          <w:szCs w:val="20"/>
          <w:color w:val="auto"/>
        </w:rPr>
      </w:pPr>
    </w:p>
    <w:p>
      <w:pPr>
        <w:sectPr>
          <w:pgSz w:w="11900" w:h="16838" w:orient="portrait"/>
          <w:cols w:equalWidth="0" w:num="2">
            <w:col w:w="2440" w:space="720"/>
            <w:col w:w="808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Nasdaq Global Select Market</w:t>
      </w:r>
    </w:p>
    <w:p>
      <w:pPr>
        <w:spacing w:after="0" w:line="207" w:lineRule="exact"/>
        <w:rPr>
          <w:sz w:val="20"/>
          <w:szCs w:val="20"/>
          <w:color w:val="auto"/>
        </w:rPr>
      </w:pPr>
    </w:p>
    <w:p>
      <w:pPr>
        <w:sectPr>
          <w:pgSz w:w="11900" w:h="16838" w:orient="portrait"/>
          <w:cols w:equalWidth="0" w:num="2">
            <w:col w:w="2480" w:space="720"/>
            <w:col w:w="804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“RSU(s)”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restricted share unit(s)</w:t>
      </w:r>
    </w:p>
    <w:p>
      <w:pPr>
        <w:spacing w:after="0" w:line="207" w:lineRule="exact"/>
        <w:rPr>
          <w:sz w:val="20"/>
          <w:szCs w:val="20"/>
          <w:color w:val="auto"/>
        </w:rPr>
      </w:pPr>
    </w:p>
    <w:p>
      <w:pPr>
        <w:sectPr>
          <w:pgSz w:w="11900" w:h="16838" w:orient="portrait"/>
          <w:cols w:equalWidth="0" w:num="2">
            <w:col w:w="2440" w:space="720"/>
            <w:col w:w="808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7"/>
          <w:szCs w:val="17"/>
          <w:color w:val="auto"/>
        </w:rPr>
        <w:t>holder(s) of the Class A ordinary shares and Class B ordinary shares of the Company</w:t>
      </w:r>
    </w:p>
    <w:p>
      <w:pPr>
        <w:spacing w:after="0" w:line="207" w:lineRule="exact"/>
        <w:rPr>
          <w:sz w:val="20"/>
          <w:szCs w:val="20"/>
          <w:color w:val="auto"/>
        </w:rPr>
      </w:pPr>
    </w:p>
    <w:p>
      <w:pPr>
        <w:sectPr>
          <w:pgSz w:w="11900" w:h="16838" w:orient="portrait"/>
          <w:cols w:equalWidth="0" w:num="2">
            <w:col w:w="2440" w:space="720"/>
            <w:col w:w="808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Stock Exchange of Hong Kong Limited</w:t>
      </w:r>
    </w:p>
    <w:p>
      <w:pPr>
        <w:spacing w:after="0" w:line="207" w:lineRule="exact"/>
        <w:rPr>
          <w:sz w:val="20"/>
          <w:szCs w:val="20"/>
          <w:color w:val="auto"/>
        </w:rPr>
      </w:pPr>
    </w:p>
    <w:p>
      <w:pPr>
        <w:sectPr>
          <w:pgSz w:w="11900" w:h="16838" w:orient="portrait"/>
          <w:cols w:equalWidth="0" w:num="2">
            <w:col w:w="2440" w:space="720"/>
            <w:col w:w="808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shareholder(s)”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has the meaning ascribed to it in the Listing Rules</w:t>
      </w:r>
    </w:p>
    <w:p>
      <w:pPr>
        <w:spacing w:after="0" w:line="207" w:lineRule="exact"/>
        <w:rPr>
          <w:sz w:val="20"/>
          <w:szCs w:val="20"/>
          <w:color w:val="auto"/>
        </w:rPr>
      </w:pPr>
    </w:p>
    <w:p>
      <w:pPr>
        <w:sectPr>
          <w:pgSz w:w="11900" w:h="16838" w:orient="portrait"/>
          <w:cols w:equalWidth="0" w:num="2">
            <w:col w:w="2440" w:space="720"/>
            <w:col w:w="808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“treasury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has the meaning ascribed to it in the Listing Rules</w:t>
      </w:r>
    </w:p>
    <w:p>
      <w:pPr>
        <w:spacing w:after="0" w:line="200" w:lineRule="exact"/>
        <w:rPr>
          <w:sz w:val="20"/>
          <w:szCs w:val="20"/>
          <w:color w:val="auto"/>
        </w:rPr>
      </w:pPr>
    </w:p>
    <w:p>
      <w:pPr>
        <w:sectPr>
          <w:pgSz w:w="11900" w:h="16838" w:orient="portrait"/>
          <w:cols w:equalWidth="0" w:num="2">
            <w:col w:w="2440" w:space="720"/>
            <w:col w:w="8080"/>
          </w:cols>
          <w:pgMar w:left="320" w:top="900"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dollars, the lawful currency of the United States of America</w:t>
      </w:r>
    </w:p>
    <w:p>
      <w:pPr>
        <w:spacing w:after="0" w:line="200" w:lineRule="exact"/>
        <w:rPr>
          <w:sz w:val="20"/>
          <w:szCs w:val="20"/>
          <w:color w:val="auto"/>
        </w:rPr>
      </w:pPr>
    </w:p>
    <w:p>
      <w:pPr>
        <w:sectPr>
          <w:pgSz w:w="11900" w:h="16838" w:orient="portrait"/>
          <w:cols w:equalWidth="0" w:num="2">
            <w:col w:w="2440" w:space="720"/>
            <w:col w:w="8080"/>
          </w:cols>
          <w:pgMar w:left="320" w:top="900"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 cent</w:t>
      </w:r>
    </w:p>
    <w:p>
      <w:pPr>
        <w:spacing w:after="0" w:line="207" w:lineRule="exact"/>
        <w:rPr>
          <w:sz w:val="20"/>
          <w:szCs w:val="20"/>
          <w:color w:val="auto"/>
        </w:rPr>
      </w:pPr>
    </w:p>
    <w:p>
      <w:pPr>
        <w:sectPr>
          <w:pgSz w:w="11900" w:h="16838" w:orient="portrait"/>
          <w:cols w:equalWidth="0" w:num="2">
            <w:col w:w="2440" w:space="720"/>
            <w:col w:w="8080"/>
          </w:cols>
          <w:pgMar w:left="320" w:top="900" w:right="339" w:bottom="1440" w:gutter="0" w:footer="0" w:header="0"/>
          <w:type w:val="continuous"/>
        </w:sectPr>
      </w:pPr>
    </w:p>
    <w:p>
      <w:pPr>
        <w:spacing w:after="0" w:line="2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Dr. Yifan Li</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Chairman of the Board, Executive Director</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May 20, 2026</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As of the date of this announcement, the Board comprises: (i) Dr. Yifan Li, Dr. Kai Sun, Mr. Shaoqing Xiang and Ms. Cailian Yang as the executive Directors; and (ii) Ms. Yi Zhang, Mr. Jia Ren and Dr. Hui Wang as the independent non-executive Directors.</w:t>
      </w:r>
    </w:p>
    <w:p>
      <w:pPr>
        <w:spacing w:after="0" w:line="158" w:lineRule="exact"/>
        <w:rPr>
          <w:sz w:val="20"/>
          <w:szCs w:val="20"/>
          <w:color w:val="auto"/>
        </w:rPr>
      </w:pPr>
    </w:p>
    <w:p>
      <w:pPr>
        <w:ind w:left="180" w:hanging="136"/>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identification purpose only</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2026-05-20T08:13:37Z</dcterms:created>
  <dcterms:modified xsi:type="dcterms:W3CDTF">2026-05-20T08:13:37Z</dcterms:modified>
</cp:coreProperties>
</file>