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559d1_6k.htm"/>
      <w:bookmarkStart w:id="1" w:name="kstm2625559d1_6k"/>
      <w:bookmarkEnd w:id="0"/>
      <w:bookmarkEnd w:id="1"/>
      <w:r>
        <w:rPr/>
        <w:t> </w:t>
      </w:r>
    </w:p>
    <w:p>
      <w:pPr>
        <w:pStyle w:val="TextBody"/>
        <w:bidi w:val="0"/>
        <w:spacing w:before="6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6-K</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September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001-41611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Hesai Group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10th Floor, Building 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658 Zhaohua Road, Changning District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200050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People’s Republic of China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issuer listed on The Stock Exchange of Hong Kong Limited, we are required to prepare an interim report in respect of the first six months of each fiscal year pursuant to Rule 13.48(1) of the Rules Governing the Listing of Securities on The Stock Exchange of Hong Kong Limited. We are furnishing our interim report in respect of the first six months of the fiscal year ending December 31, 2026 as Exhibit 99.1 of this current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3655" w:type="dxa"/>
        <w:jc w:val="left"/>
        <w:tblInd w:w="0" w:type="dxa"/>
        <w:tblLayout w:type="fixed"/>
        <w:tblCellMar>
          <w:top w:w="0" w:type="dxa"/>
          <w:left w:w="0" w:type="dxa"/>
          <w:bottom w:w="0" w:type="dxa"/>
          <w:right w:w="0" w:type="dxa"/>
        </w:tblCellMar>
      </w:tblPr>
      <w:tblGrid>
        <w:gridCol w:w="440"/>
        <w:gridCol w:w="3215"/>
      </w:tblGrid>
      <w:tr>
        <w:trPr/>
        <w:tc>
          <w:tcPr>
            <w:tcW w:w="440" w:type="dxa"/>
            <w:tcBorders/>
            <w:vAlign w:val="center"/>
          </w:tcPr>
          <w:p>
            <w:pPr>
              <w:pStyle w:val="TableContents"/>
              <w:bidi w:val="0"/>
              <w:spacing w:before="0" w:after="283"/>
              <w:jc w:val="left"/>
              <w:rPr/>
            </w:pPr>
            <w:hyperlink w:anchor="tm2625559d1_ex99-1.pdf">
              <w:r>
                <w:rPr>
                  <w:rStyle w:val="InternetLink"/>
                </w:rPr>
                <w:t>99.1</w:t>
              </w:r>
            </w:hyperlink>
          </w:p>
        </w:tc>
        <w:tc>
          <w:tcPr>
            <w:tcW w:w="3215" w:type="dxa"/>
            <w:tcBorders/>
            <w:vAlign w:val="center"/>
          </w:tcPr>
          <w:p>
            <w:pPr>
              <w:pStyle w:val="TableContents"/>
              <w:bidi w:val="0"/>
              <w:spacing w:before="0" w:after="283"/>
              <w:jc w:val="left"/>
              <w:rPr/>
            </w:pPr>
            <w:hyperlink w:anchor="tm2625559d1_ex99-1.pdf">
              <w:r>
                <w:rPr>
                  <w:rStyle w:val="InternetLink"/>
                </w:rPr>
                <w:t>Hesai Group 2026 Interim Report</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95" w:type="dxa"/>
        <w:jc w:val="left"/>
        <w:tblInd w:w="0" w:type="dxa"/>
        <w:tblLayout w:type="fixed"/>
        <w:tblCellMar>
          <w:top w:w="0" w:type="dxa"/>
          <w:left w:w="0" w:type="dxa"/>
          <w:bottom w:w="0" w:type="dxa"/>
          <w:right w:w="0" w:type="dxa"/>
        </w:tblCellMar>
      </w:tblPr>
      <w:tblGrid>
        <w:gridCol w:w="75"/>
        <w:gridCol w:w="485"/>
        <w:gridCol w:w="80"/>
        <w:gridCol w:w="1955"/>
      </w:tblGrid>
      <w:tr>
        <w:trPr/>
        <w:tc>
          <w:tcPr>
            <w:tcW w:w="75" w:type="dxa"/>
            <w:tcBorders/>
            <w:vAlign w:val="center"/>
          </w:tcPr>
          <w:p>
            <w:pPr>
              <w:pStyle w:val="TableContents"/>
              <w:bidi w:val="0"/>
              <w:spacing w:before="0" w:after="283"/>
              <w:jc w:val="left"/>
              <w:rPr/>
            </w:pPr>
            <w:r>
              <w:rPr/>
              <w:t> </w:t>
            </w:r>
          </w:p>
        </w:tc>
        <w:tc>
          <w:tcPr>
            <w:tcW w:w="2520" w:type="dxa"/>
            <w:gridSpan w:val="3"/>
            <w:tcBorders/>
            <w:vAlign w:val="center"/>
          </w:tcPr>
          <w:p>
            <w:pPr>
              <w:pStyle w:val="TableContents"/>
              <w:bidi w:val="0"/>
              <w:spacing w:before="0" w:after="283"/>
              <w:jc w:val="left"/>
              <w:rPr>
                <w:b/>
              </w:rPr>
            </w:pPr>
            <w:r>
              <w:rPr>
                <w:b/>
              </w:rPr>
              <w:t>Hesai Group</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 </w:t>
            </w:r>
          </w:p>
        </w:tc>
        <w:tc>
          <w:tcPr>
            <w:tcW w:w="195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center"/>
              <w:rPr/>
            </w:pPr>
            <w:r>
              <w:rPr/>
              <w:t>:</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Yifan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center"/>
              <w:rPr/>
            </w:pPr>
            <w:r>
              <w:rPr/>
              <w:t>:</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Yifan Li</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center"/>
              <w:rPr/>
            </w:pPr>
            <w:r>
              <w:rPr/>
              <w:t>:</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September 17,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232</Words>
  <Characters>1146</Characters>
  <CharactersWithSpaces>1395</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